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c00000"/>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Proces verbal al ședinței</w:t>
      </w:r>
    </w:p>
    <w:p w:rsidR="00000000" w:rsidDel="00000000" w:rsidP="00000000" w:rsidRDefault="00000000" w:rsidRPr="00000000" w14:paraId="00000003">
      <w:pPr>
        <w:jc w:val="center"/>
        <w:rPr>
          <w:b w:val="1"/>
        </w:rPr>
      </w:pPr>
      <w:r w:rsidDel="00000000" w:rsidR="00000000" w:rsidRPr="00000000">
        <w:rPr>
          <w:b w:val="1"/>
          <w:rtl w:val="0"/>
        </w:rPr>
        <w:t xml:space="preserve"> Biroului Permanent al Platformei pentru Egalitate de Gen</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rPr>
          <w:color w:val="000000"/>
        </w:rPr>
      </w:pPr>
      <w:r w:rsidDel="00000000" w:rsidR="00000000" w:rsidRPr="00000000">
        <w:rPr>
          <w:b w:val="1"/>
          <w:rtl w:val="0"/>
        </w:rPr>
        <w:t xml:space="preserve"> Data: </w:t>
      </w:r>
      <w:r w:rsidDel="00000000" w:rsidR="00000000" w:rsidRPr="00000000">
        <w:rPr>
          <w:rtl w:val="0"/>
        </w:rPr>
        <w:t xml:space="preserve">10 noiembrie 2020</w:t>
      </w:r>
      <w:r w:rsidDel="00000000" w:rsidR="00000000" w:rsidRPr="00000000">
        <w:rPr>
          <w:rtl w:val="0"/>
        </w:rPr>
      </w:r>
    </w:p>
    <w:p w:rsidR="00000000" w:rsidDel="00000000" w:rsidP="00000000" w:rsidRDefault="00000000" w:rsidRPr="00000000" w14:paraId="00000007">
      <w:pPr>
        <w:shd w:fill="ffffff" w:val="clear"/>
        <w:rPr>
          <w:b w:val="1"/>
          <w:u w:val="single"/>
        </w:rPr>
      </w:pPr>
      <w:r w:rsidDel="00000000" w:rsidR="00000000" w:rsidRPr="00000000">
        <w:rPr>
          <w:b w:val="1"/>
          <w:u w:val="single"/>
          <w:rtl w:val="0"/>
        </w:rPr>
        <w:t xml:space="preserve">Platforma ZOOM</w:t>
      </w:r>
    </w:p>
    <w:p w:rsidR="00000000" w:rsidDel="00000000" w:rsidP="00000000" w:rsidRDefault="00000000" w:rsidRPr="00000000" w14:paraId="00000008">
      <w:pPr>
        <w:shd w:fill="ffffff" w:val="clear"/>
        <w:rPr>
          <w:b w:val="1"/>
          <w:u w:val="single"/>
        </w:rPr>
      </w:pPr>
      <w:r w:rsidDel="00000000" w:rsidR="00000000" w:rsidRPr="00000000">
        <w:rPr>
          <w:b w:val="1"/>
          <w:u w:val="single"/>
          <w:rtl w:val="0"/>
        </w:rPr>
        <w:t xml:space="preserve">Au  participat membrele Biroului permanent</w:t>
      </w:r>
    </w:p>
    <w:p w:rsidR="00000000" w:rsidDel="00000000" w:rsidP="00000000" w:rsidRDefault="00000000" w:rsidRPr="00000000" w14:paraId="00000009">
      <w:pPr>
        <w:shd w:fill="ffffff" w:val="clear"/>
        <w:rPr>
          <w:b w:val="1"/>
          <w:u w:val="single"/>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284" w:right="26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Cornelia Călin,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Preţedinta PEG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Analistă a finanțelor, Promo-LEX </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284" w:right="26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Veronica Lupu,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Vicepreședinta PEG, AO Femeia pentru societate contemporană </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284" w:right="260" w:hanging="360"/>
        <w:jc w:val="both"/>
        <w:rPr>
          <w:u w:val="none"/>
        </w:rPr>
      </w:pPr>
      <w:r w:rsidDel="00000000" w:rsidR="00000000" w:rsidRPr="00000000">
        <w:rPr>
          <w:b w:val="1"/>
          <w:rtl w:val="0"/>
        </w:rPr>
        <w:t xml:space="preserve">Ana Gurău</w:t>
      </w:r>
      <w:r w:rsidDel="00000000" w:rsidR="00000000" w:rsidRPr="00000000">
        <w:rPr>
          <w:rtl w:val="0"/>
        </w:rPr>
        <w:t xml:space="preserve">, GIFM</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284" w:right="26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Valentina Bodrug-Lungu,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Președinta Gender-Centru</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284" w:right="26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Ecaterina Mardarovici,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Președinta Directoarea CPF 50/50</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284" w:right="26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Olga Bîtcă,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Coordonatoare Programe, CReDO</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200" w:before="0" w:line="276" w:lineRule="auto"/>
        <w:ind w:left="284" w:right="26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Nina Lozinschi,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Secretara Generală a Platformei pentru Egalitate de Gen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shd w:fill="ffffff" w:val="clear"/>
        <w:rPr>
          <w:b w:val="1"/>
          <w:u w:val="single"/>
        </w:rPr>
      </w:pPr>
      <w:r w:rsidDel="00000000" w:rsidR="00000000" w:rsidRPr="00000000">
        <w:rPr>
          <w:rtl w:val="0"/>
        </w:rPr>
      </w:r>
    </w:p>
    <w:p w:rsidR="00000000" w:rsidDel="00000000" w:rsidP="00000000" w:rsidRDefault="00000000" w:rsidRPr="00000000" w14:paraId="00000012">
      <w:pPr>
        <w:shd w:fill="ffffff" w:val="clear"/>
        <w:rPr>
          <w:b w:val="1"/>
          <w:u w:val="single"/>
        </w:rPr>
      </w:pPr>
      <w:r w:rsidDel="00000000" w:rsidR="00000000" w:rsidRPr="00000000">
        <w:rPr>
          <w:b w:val="1"/>
          <w:u w:val="single"/>
          <w:rtl w:val="0"/>
        </w:rPr>
        <w:t xml:space="preserve">S-a discutat și s-a decis: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1. Prezentarea rapoartelor de monitorizare. Pregatirea pentru conferința de presă</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S-a discutat despre perioada/datele pentru conferința de presa unde vor fi prezentate rezultatele monitorizării alegerilor prezidențiale 2020 a discursului candidaților și VIFA. S-am menționat ca cele 2 experte responsabile de monitorizare să fie prezente la conferința de presă cu constatările monitorizării. Olga Bîtcă pentru primul tur iar Loretta Handrabura pentru turul 2. Olga Bîtcă va expedia raportul pentru primul tur mai repede, astfel ca LH să aibă rezerva de 10 zile pentru a compila cele 2 rapoarte. Iar data aproximativă ar fi minunat sa fie 25 noiembrie, ziua începerii campaniei 16 zile de activism împotriva violenței în alegeri.</w:t>
      </w:r>
    </w:p>
    <w:p w:rsidR="00000000" w:rsidDel="00000000" w:rsidP="00000000" w:rsidRDefault="00000000" w:rsidRPr="00000000" w14:paraId="00000017">
      <w:pPr>
        <w:jc w:val="both"/>
        <w:rPr/>
      </w:pPr>
      <w:r w:rsidDel="00000000" w:rsidR="00000000" w:rsidRPr="00000000">
        <w:rPr>
          <w:rtl w:val="0"/>
        </w:rPr>
        <w:t xml:space="preserve">S-a discutat despre faptul că partidele politice să fie informate despre posibilitatea de raporta cazurile de VIFA. Corect este sa fie expediata informația la toate partidele politice, inclusiv după finisarea alegerilor prezidențiale.</w:t>
      </w:r>
    </w:p>
    <w:p w:rsidR="00000000" w:rsidDel="00000000" w:rsidP="00000000" w:rsidRDefault="00000000" w:rsidRPr="00000000" w14:paraId="00000018">
      <w:pPr>
        <w:jc w:val="both"/>
        <w:rPr/>
      </w:pPr>
      <w:r w:rsidDel="00000000" w:rsidR="00000000" w:rsidRPr="00000000">
        <w:rPr>
          <w:rtl w:val="0"/>
        </w:rPr>
        <w:t xml:space="preserve">s-a propus ca după conferința de presă, comunicatul de presă și raportul de monitorizare sa fie expediate către partidele politice, cu invitația de raporta cazurile de VIFA pe platforma online.</w:t>
      </w:r>
    </w:p>
    <w:p w:rsidR="00000000" w:rsidDel="00000000" w:rsidP="00000000" w:rsidRDefault="00000000" w:rsidRPr="00000000" w14:paraId="00000019">
      <w:pPr>
        <w:rPr/>
      </w:pPr>
      <w:r w:rsidDel="00000000" w:rsidR="00000000" w:rsidRPr="00000000">
        <w:rPr>
          <w:b w:val="1"/>
          <w:u w:val="single"/>
          <w:rtl w:val="0"/>
        </w:rPr>
        <w:t xml:space="preserve">S-a decis</w:t>
      </w:r>
      <w:r w:rsidDel="00000000" w:rsidR="00000000" w:rsidRPr="00000000">
        <w:rPr>
          <w:b w:val="1"/>
          <w:rtl w:val="0"/>
        </w:rPr>
        <w:t xml:space="preserve">: finalizare a rapoartelor de monitorizare pina la 24 noiembrie si planificare conferința de presa pentru data de 25 noiembrie</w:t>
      </w:r>
      <w:r w:rsidDel="00000000" w:rsidR="00000000" w:rsidRPr="00000000">
        <w:rPr>
          <w:rtl w:val="0"/>
        </w:rPr>
        <w:t xml:space="preserve">.</w:t>
      </w:r>
    </w:p>
    <w:p w:rsidR="00000000" w:rsidDel="00000000" w:rsidP="00000000" w:rsidRDefault="00000000" w:rsidRPr="00000000" w14:paraId="0000001A">
      <w:pPr>
        <w:rPr>
          <w:b w:val="1"/>
        </w:rPr>
      </w:pPr>
      <w:r w:rsidDel="00000000" w:rsidR="00000000" w:rsidRPr="00000000">
        <w:rPr>
          <w:b w:val="1"/>
          <w:rtl w:val="0"/>
        </w:rPr>
        <w:t xml:space="preserve">2. Depunerea plângerilor către Consiliul nediscriminarii</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S-a propus ca în baza comunicatului de presa cu </w:t>
      </w:r>
      <w:hyperlink r:id="rId7">
        <w:r w:rsidDel="00000000" w:rsidR="00000000" w:rsidRPr="00000000">
          <w:rPr>
            <w:color w:val="1155cc"/>
            <w:u w:val="single"/>
            <w:rtl w:val="0"/>
          </w:rPr>
          <w:t xml:space="preserve">constatările preliminare a</w:t>
        </w:r>
      </w:hyperlink>
      <w:r w:rsidDel="00000000" w:rsidR="00000000" w:rsidRPr="00000000">
        <w:rPr>
          <w:rtl w:val="0"/>
        </w:rPr>
        <w:t xml:space="preserve">VIFA în alegerile prezidențiale 2020, pentru protagoniștii mesajelor sexiste si discriminatorii să se depună plângeri la Consiliul nediscriminării. </w:t>
      </w:r>
    </w:p>
    <w:p w:rsidR="00000000" w:rsidDel="00000000" w:rsidP="00000000" w:rsidRDefault="00000000" w:rsidRPr="00000000" w14:paraId="0000001D">
      <w:pPr>
        <w:jc w:val="both"/>
        <w:rPr/>
      </w:pPr>
      <w:r w:rsidDel="00000000" w:rsidR="00000000" w:rsidRPr="00000000">
        <w:rPr>
          <w:rtl w:val="0"/>
        </w:rPr>
        <w:t xml:space="preserve">S-a discutat ca  plângeri să fie depuse împotriva lui: Igor Dodon, Renato Usatii, Vladimir Voronin, Andrei Nastase. </w:t>
      </w:r>
    </w:p>
    <w:p w:rsidR="00000000" w:rsidDel="00000000" w:rsidP="00000000" w:rsidRDefault="00000000" w:rsidRPr="00000000" w14:paraId="0000001E">
      <w:pPr>
        <w:rPr>
          <w:b w:val="1"/>
        </w:rPr>
      </w:pPr>
      <w:r w:rsidDel="00000000" w:rsidR="00000000" w:rsidRPr="00000000">
        <w:rPr>
          <w:b w:val="1"/>
          <w:u w:val="single"/>
          <w:rtl w:val="0"/>
        </w:rPr>
        <w:t xml:space="preserve">S-a deci</w:t>
      </w:r>
      <w:r w:rsidDel="00000000" w:rsidR="00000000" w:rsidRPr="00000000">
        <w:rPr>
          <w:b w:val="1"/>
          <w:rtl w:val="0"/>
        </w:rPr>
        <w:t xml:space="preserve">s: De depunerea plângerilor se va ocupa Veronica Lupu, responsabilă de asistență juridică în cadrul acestui proiect. Dar argumentare va fi pregatita cu suportul expertelor de monitorizare. Ana Gurău s-a oferita sa contribui la pregătirea argumentelor. </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2. Campania 16 zile de activism împotriva violenței 2020.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Pentru că suntem în ajunul campaniile 16 zile de activism împotriva violenței, ar fi bine s avem unele evenimente sub umbrele PEG. O parte din activitățile planificate pentru consolidarea PEG vor fi incluse în cadrul acestei companii cum ar fi webinarul din 25 noiembrie privind prevenirea arderii profesionale a activiștilor și activistelor. </w:t>
      </w:r>
    </w:p>
    <w:p w:rsidR="00000000" w:rsidDel="00000000" w:rsidP="00000000" w:rsidRDefault="00000000" w:rsidRPr="00000000" w14:paraId="00000023">
      <w:pPr>
        <w:jc w:val="both"/>
        <w:rPr/>
      </w:pPr>
      <w:r w:rsidDel="00000000" w:rsidR="00000000" w:rsidRPr="00000000">
        <w:rPr>
          <w:rtl w:val="0"/>
        </w:rPr>
        <w:t xml:space="preserve">UN Women a elaborat un concept pentru anul acest, inclusiv cateva mesaje care pot fi utilizate. Secretariatul PEG ca realiza unele postere personalizate care pot fi distribuite pe rețele de socializare.</w:t>
      </w:r>
    </w:p>
    <w:p w:rsidR="00000000" w:rsidDel="00000000" w:rsidP="00000000" w:rsidRDefault="00000000" w:rsidRPr="00000000" w14:paraId="00000024">
      <w:pPr>
        <w:jc w:val="both"/>
        <w:rPr/>
      </w:pPr>
      <w:r w:rsidDel="00000000" w:rsidR="00000000" w:rsidRPr="00000000">
        <w:rPr>
          <w:rtl w:val="0"/>
        </w:rPr>
        <w:t xml:space="preserve">Ana Gurău a menționat ca ea este disponibilă să realizeze un webinar cu tematică prejudecățile de gen în științele medicale reprezintă forme de violență sistemică față de femei. NL a menționat ca în cadrul proiectului cu IREX Europe au o reprezentantă a Asociația Studenților de la Medicina, cu care ar fi posibil de realizat acest eveniment. </w:t>
      </w:r>
    </w:p>
    <w:p w:rsidR="00000000" w:rsidDel="00000000" w:rsidP="00000000" w:rsidRDefault="00000000" w:rsidRPr="00000000" w14:paraId="00000025">
      <w:pPr>
        <w:jc w:val="both"/>
        <w:rPr/>
      </w:pPr>
      <w:r w:rsidDel="00000000" w:rsidR="00000000" w:rsidRPr="00000000">
        <w:rPr>
          <w:rtl w:val="0"/>
        </w:rPr>
        <w:t xml:space="preserve">Gender Centru ar fi posibil să organizeze un eveniment, ca și anul trecut în parteneriat cu USM, dar urmează să se decidă în funcție de situație pandemica. </w:t>
      </w:r>
    </w:p>
    <w:p w:rsidR="00000000" w:rsidDel="00000000" w:rsidP="00000000" w:rsidRDefault="00000000" w:rsidRPr="00000000" w14:paraId="00000026">
      <w:pPr>
        <w:rPr>
          <w:b w:val="1"/>
        </w:rPr>
      </w:pPr>
      <w:r w:rsidDel="00000000" w:rsidR="00000000" w:rsidRPr="00000000">
        <w:rPr>
          <w:b w:val="1"/>
          <w:u w:val="single"/>
          <w:rtl w:val="0"/>
        </w:rPr>
        <w:t xml:space="preserve">S-a decis</w:t>
      </w:r>
      <w:r w:rsidDel="00000000" w:rsidR="00000000" w:rsidRPr="00000000">
        <w:rPr>
          <w:b w:val="1"/>
          <w:rtl w:val="0"/>
        </w:rPr>
        <w:t xml:space="preserve"> ca să fie expediat posterele create de secretariat, conceptul de la UN Women către membrii rețelei cu invitația de organizat evenimente in cadrul campanie 16 zile sub ubrele PEG. </w:t>
      </w:r>
    </w:p>
    <w:p w:rsidR="00000000" w:rsidDel="00000000" w:rsidP="00000000" w:rsidRDefault="00000000" w:rsidRPr="00000000" w14:paraId="00000027">
      <w:pPr>
        <w:rPr>
          <w:b w:val="1"/>
        </w:rPr>
      </w:pPr>
      <w:r w:rsidDel="00000000" w:rsidR="00000000" w:rsidRPr="00000000">
        <w:rPr>
          <w:b w:val="1"/>
          <w:rtl w:val="0"/>
        </w:rPr>
        <w:t xml:space="preserve">Contactarea </w:t>
      </w:r>
      <w:r w:rsidDel="00000000" w:rsidR="00000000" w:rsidRPr="00000000">
        <w:rPr>
          <w:rtl w:val="0"/>
        </w:rPr>
        <w:t xml:space="preserve">Asociația Studenților de la Medicina, cu invitație la colaborare.</w:t>
      </w: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3. Pregatirea Adunării Generale a PEG</w:t>
      </w:r>
    </w:p>
    <w:p w:rsidR="00000000" w:rsidDel="00000000" w:rsidP="00000000" w:rsidRDefault="00000000" w:rsidRPr="00000000" w14:paraId="0000002A">
      <w:pPr>
        <w:jc w:val="both"/>
        <w:rPr/>
      </w:pPr>
      <w:r w:rsidDel="00000000" w:rsidR="00000000" w:rsidRPr="00000000">
        <w:rPr>
          <w:rtl w:val="0"/>
        </w:rPr>
        <w:t xml:space="preserve">S-a discutat ca evenimentul să fie realizat în zi de weekend pentru a asigura participarea și celor care lucrează în alte instituții decât ONG, respectiv 12 decembrie. Evenimentul sa fie în 2 etape: prima etapă online unul unde se va prezenta rezultatele, prezenta noile organizații membre, prezentarea regulamentului de funcționare și alegerea membrilor Biroului Permanent mandatul VII. </w:t>
      </w:r>
    </w:p>
    <w:p w:rsidR="00000000" w:rsidDel="00000000" w:rsidP="00000000" w:rsidRDefault="00000000" w:rsidRPr="00000000" w14:paraId="0000002B">
      <w:pPr>
        <w:jc w:val="both"/>
        <w:rPr/>
      </w:pPr>
      <w:r w:rsidDel="00000000" w:rsidR="00000000" w:rsidRPr="00000000">
        <w:rPr>
          <w:rtl w:val="0"/>
        </w:rPr>
        <w:t xml:space="preserve">Sa discuta variantele de realizarea votului. a fost propuse ca alternative: posibilități de cererea de sondaj de pe Zoom, doodle, google forms, ultim fiinde cea mai cunoscută si utilizată. </w:t>
      </w:r>
    </w:p>
    <w:p w:rsidR="00000000" w:rsidDel="00000000" w:rsidP="00000000" w:rsidRDefault="00000000" w:rsidRPr="00000000" w14:paraId="0000002C">
      <w:pPr>
        <w:jc w:val="both"/>
        <w:rPr/>
      </w:pPr>
      <w:r w:rsidDel="00000000" w:rsidR="00000000" w:rsidRPr="00000000">
        <w:rPr>
          <w:rtl w:val="0"/>
        </w:rPr>
        <w:t xml:space="preserve">Iar a doua parte să se desfășoară offline, iar cei care doresc să participe. Obiectivul acestei părți este de socializare, cunoașterea membrilor vechi cu celor noi combinat cu un atelier de lucru în consolidarea activismului în drepturile femeilor. </w:t>
      </w:r>
    </w:p>
    <w:p w:rsidR="00000000" w:rsidDel="00000000" w:rsidP="00000000" w:rsidRDefault="00000000" w:rsidRPr="00000000" w14:paraId="0000002D">
      <w:pPr>
        <w:jc w:val="both"/>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5. Participarea la Female Leadership Summit, as of 13-15 November.</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S-a reamintit că secretariatul a primit invitația de  a participa la Female Leadership Summit organizat de ELDA - European Leadership and Debate Academy și finanțat de Ministerul de Externe al Germaniei, eveniment desfășurat online la care va participa președinta Cornelia Călin. Ea avea o scurtă intervenție unde va vorbi despre experiența PEG în promovarea reprezentării echitabile în procesul decizional.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PS: De la echipa proiectului PNUD "Consolidarea democrației în Moldova prin alegeri incluzive și transparente"  a venit invitația către membrele PEG cu o propunere de colaborare pentru a crește comunicarea publică privind respectarea egalității de gen la alegerile prezidențiale. Imediat după turul 2 al alegerilor prezidențiale, vor să realizeze scurte concluzii postelectorale din perspectiva egalității de gen prin intermediul unor mesaje video, cu durată de maximum 3 min., filmate în condiții de studio și cu asigurare de prompter. </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Pe această cale, au venit cu rugămintea de a delega o reprezentantă a Platformei care ar putea să descrie activitatea platformei </w:t>
      </w:r>
      <w:hyperlink r:id="rId8">
        <w:r w:rsidDel="00000000" w:rsidR="00000000" w:rsidRPr="00000000">
          <w:rPr>
            <w:rtl w:val="0"/>
          </w:rPr>
          <w:t xml:space="preserve">https://gender.monitor.md/</w:t>
        </w:r>
      </w:hyperlink>
      <w:r w:rsidDel="00000000" w:rsidR="00000000" w:rsidRPr="00000000">
        <w:rPr>
          <w:rtl w:val="0"/>
        </w:rPr>
        <w:t xml:space="preserve">, a cazurilor semnalate aici, inclusiv cazuri de violență împotriva femeilor. Menționăm că expertele "Femeile în alegeri" sunt Loretta Handrabura, Liliana Palihovici, Angela Stafii și Ludmila Andronic. Vom mai solicita un interviu/mesaj și de la reprezentanții Asociației Promo-LEX. </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Mesajele video vor fi distribuite pe rețelele de socializare și se vor încadra în campania de sensibilizare privind cele 16 zile de</w:t>
      </w:r>
      <w:r w:rsidDel="00000000" w:rsidR="00000000" w:rsidRPr="00000000">
        <w:rPr>
          <w:rtl w:val="0"/>
        </w:rPr>
        <w:t xml:space="preserve"> </w:t>
      </w:r>
      <w:r w:rsidDel="00000000" w:rsidR="00000000" w:rsidRPr="00000000">
        <w:rPr>
          <w:rtl w:val="0"/>
        </w:rPr>
        <w:t xml:space="preserve">activism împotriva violenței de gen, campanie organizată anual de Organizația Națiunilor Unite în perioada 25 noiembrie - 10 decembrie. Dar și vor preceda prezentarea infograficelor privind analiza de gen în alegeri, analiză realizată după fiecare scrutin de către CEC și PNUD.</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S-a decis -delegarea pentru realizarea mesajelor video Vicepreședinta Veronic Lupu.</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39">
      <w:pPr>
        <w:jc w:val="both"/>
        <w:rPr>
          <w:b w:val="1"/>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after="280" w:before="280" w:lineRule="auto"/>
        <w:ind w:left="720" w:firstLine="0"/>
        <w:rPr>
          <w:b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ffffff" w:val="clear"/>
        <w:tabs>
          <w:tab w:val="left" w:pos="2850"/>
        </w:tabs>
        <w:spacing w:after="120" w:before="0" w:line="480" w:lineRule="auto"/>
        <w:ind w:left="720" w:right="26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headerReference r:id="rId9" w:type="default"/>
      <w:footerReference r:id="rId10" w:type="default"/>
      <w:pgSz w:h="15840" w:w="12240" w:orient="portrait"/>
      <w:pgMar w:bottom="720" w:top="383" w:left="720" w:right="720" w:header="720" w:footer="1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shd w:fill="ffffff" w:val="clear"/>
      <w:ind w:left="3119" w:firstLine="0"/>
      <w:rPr>
        <w:b w:val="1"/>
        <w:color w:val="5f497a"/>
        <w:highlight w:val="white"/>
      </w:rPr>
    </w:pPr>
    <w:r w:rsidDel="00000000" w:rsidR="00000000" w:rsidRPr="00000000">
      <w:rPr>
        <w:b w:val="1"/>
        <w:color w:val="5f497a"/>
        <w:highlight w:val="white"/>
        <w:rtl w:val="0"/>
      </w:rPr>
      <w:t xml:space="preserve">Platforma pentru Egalitate de Gen</w:t>
    </w:r>
    <w:r w:rsidDel="00000000" w:rsidR="00000000" w:rsidRPr="00000000">
      <w:drawing>
        <wp:anchor allowOverlap="1" behindDoc="0" distB="0" distT="0" distL="114300" distR="114300" hidden="0" layoutInCell="1" locked="0" relativeHeight="0" simplePos="0">
          <wp:simplePos x="0" y="0"/>
          <wp:positionH relativeFrom="column">
            <wp:posOffset>523875</wp:posOffset>
          </wp:positionH>
          <wp:positionV relativeFrom="paragraph">
            <wp:posOffset>-20954</wp:posOffset>
          </wp:positionV>
          <wp:extent cx="704850" cy="845820"/>
          <wp:effectExtent b="0" l="0" r="0" t="0"/>
          <wp:wrapSquare wrapText="bothSides" distB="0" distT="0" distL="114300" distR="114300"/>
          <wp:docPr descr="1" id="4" name="image1.jpg"/>
          <a:graphic>
            <a:graphicData uri="http://schemas.openxmlformats.org/drawingml/2006/picture">
              <pic:pic>
                <pic:nvPicPr>
                  <pic:cNvPr descr="1" id="0" name="image1.jpg"/>
                  <pic:cNvPicPr preferRelativeResize="0"/>
                </pic:nvPicPr>
                <pic:blipFill>
                  <a:blip r:embed="rId1"/>
                  <a:srcRect b="0" l="0" r="0" t="0"/>
                  <a:stretch>
                    <a:fillRect/>
                  </a:stretch>
                </pic:blipFill>
                <pic:spPr>
                  <a:xfrm>
                    <a:off x="0" y="0"/>
                    <a:ext cx="704850" cy="845820"/>
                  </a:xfrm>
                  <a:prstGeom prst="rect"/>
                  <a:ln/>
                </pic:spPr>
              </pic:pic>
            </a:graphicData>
          </a:graphic>
        </wp:anchor>
      </w:drawing>
    </w:r>
  </w:p>
  <w:p w:rsidR="00000000" w:rsidDel="00000000" w:rsidP="00000000" w:rsidRDefault="00000000" w:rsidRPr="00000000" w14:paraId="00000041">
    <w:pPr>
      <w:shd w:fill="ffffff" w:val="clear"/>
      <w:ind w:left="3119" w:firstLine="0"/>
      <w:rPr>
        <w:color w:val="5f497a"/>
        <w:highlight w:val="white"/>
      </w:rPr>
    </w:pPr>
    <w:r w:rsidDel="00000000" w:rsidR="00000000" w:rsidRPr="00000000">
      <w:rPr>
        <w:color w:val="5f497a"/>
        <w:highlight w:val="white"/>
        <w:rtl w:val="0"/>
      </w:rPr>
      <w:t xml:space="preserve">Adresa:  Str. A. Mateevici 60, Chișinău, Republica Moldova</w:t>
    </w:r>
  </w:p>
  <w:p w:rsidR="00000000" w:rsidDel="00000000" w:rsidP="00000000" w:rsidRDefault="00000000" w:rsidRPr="00000000" w14:paraId="00000042">
    <w:pPr>
      <w:shd w:fill="ffffff" w:val="clear"/>
      <w:ind w:left="3119" w:firstLine="0"/>
      <w:rPr>
        <w:color w:val="5f497a"/>
        <w:highlight w:val="white"/>
      </w:rPr>
    </w:pPr>
    <w:r w:rsidDel="00000000" w:rsidR="00000000" w:rsidRPr="00000000">
      <w:rPr>
        <w:color w:val="5f497a"/>
        <w:highlight w:val="white"/>
        <w:rtl w:val="0"/>
      </w:rPr>
      <w:t xml:space="preserve">Adresa poștală:  MD 2009, Chișinău Republica Moldova</w:t>
    </w:r>
  </w:p>
  <w:p w:rsidR="00000000" w:rsidDel="00000000" w:rsidP="00000000" w:rsidRDefault="00000000" w:rsidRPr="00000000" w14:paraId="00000043">
    <w:pPr>
      <w:shd w:fill="ffffff" w:val="clear"/>
      <w:ind w:left="3119" w:firstLine="0"/>
      <w:rPr>
        <w:color w:val="5f497a"/>
        <w:highlight w:val="white"/>
      </w:rPr>
    </w:pPr>
    <w:r w:rsidDel="00000000" w:rsidR="00000000" w:rsidRPr="00000000">
      <w:rPr>
        <w:color w:val="5f497a"/>
        <w:highlight w:val="white"/>
        <w:rtl w:val="0"/>
      </w:rPr>
      <w:t xml:space="preserve">E-mail: </w:t>
    </w:r>
    <w:hyperlink r:id="rId2">
      <w:r w:rsidDel="00000000" w:rsidR="00000000" w:rsidRPr="00000000">
        <w:rPr>
          <w:color w:val="0563c1"/>
          <w:highlight w:val="white"/>
          <w:u w:val="single"/>
          <w:rtl w:val="0"/>
        </w:rPr>
        <w:t xml:space="preserve">secretariat.platformadegen@gmail.com</w:t>
      </w:r>
    </w:hyperlink>
    <w:r w:rsidDel="00000000" w:rsidR="00000000" w:rsidRPr="00000000">
      <w:rPr>
        <w:highlight w:val="white"/>
        <w:rtl w:val="0"/>
      </w:rPr>
      <w:t xml:space="preserve"> </w:t>
    </w:r>
    <w:r w:rsidDel="00000000" w:rsidR="00000000" w:rsidRPr="00000000">
      <w:rPr>
        <w:color w:val="5f497a"/>
        <w:highlight w:val="white"/>
        <w:rtl w:val="0"/>
      </w:rPr>
      <w:t xml:space="preserve"> </w:t>
    </w:r>
  </w:p>
  <w:p w:rsidR="00000000" w:rsidDel="00000000" w:rsidP="00000000" w:rsidRDefault="00000000" w:rsidRPr="00000000" w14:paraId="00000044">
    <w:pPr>
      <w:shd w:fill="ffffff" w:val="clear"/>
      <w:ind w:left="3119" w:firstLine="0"/>
      <w:rPr>
        <w:color w:val="5f497a"/>
        <w:highlight w:val="white"/>
      </w:rPr>
    </w:pPr>
    <w:r w:rsidDel="00000000" w:rsidR="00000000" w:rsidRPr="00000000">
      <w:rPr>
        <w:color w:val="7030a0"/>
        <w:rtl w:val="0"/>
      </w:rPr>
      <w:t xml:space="preserve">Web</w:t>
    </w:r>
    <w:r w:rsidDel="00000000" w:rsidR="00000000" w:rsidRPr="00000000">
      <w:rPr>
        <w:b w:val="1"/>
        <w:color w:val="7030a0"/>
        <w:rtl w:val="0"/>
      </w:rPr>
      <w:t xml:space="preserve">:</w:t>
    </w:r>
    <w:r w:rsidDel="00000000" w:rsidR="00000000" w:rsidRPr="00000000">
      <w:rPr>
        <w:rtl w:val="0"/>
      </w:rPr>
      <w:t xml:space="preserve">  </w:t>
    </w:r>
    <w:hyperlink r:id="rId3">
      <w:r w:rsidDel="00000000" w:rsidR="00000000" w:rsidRPr="00000000">
        <w:rPr>
          <w:color w:val="5f497a"/>
          <w:highlight w:val="white"/>
          <w:u w:val="single"/>
          <w:rtl w:val="0"/>
        </w:rPr>
        <w:t xml:space="preserve">www.egalitatedegen.md</w:t>
      </w:r>
    </w:hyperlink>
    <w:r w:rsidDel="00000000" w:rsidR="00000000" w:rsidRPr="00000000">
      <w:rPr>
        <w:rtl w:val="0"/>
      </w:rPr>
    </w:r>
  </w:p>
  <w:p w:rsidR="00000000" w:rsidDel="00000000" w:rsidP="00000000" w:rsidRDefault="00000000" w:rsidRPr="00000000" w14:paraId="00000045">
    <w:pPr>
      <w:shd w:fill="ffffff" w:val="clear"/>
      <w:ind w:left="2552" w:firstLine="0"/>
      <w:rPr>
        <w:b w:val="1"/>
        <w:color w:val="7030a0"/>
        <w:highlight w:val="whit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76200</wp:posOffset>
              </wp:positionV>
              <wp:extent cx="6048375" cy="19050"/>
              <wp:effectExtent b="0" l="0" r="0" t="0"/>
              <wp:wrapNone/>
              <wp:docPr id="3" name=""/>
              <a:graphic>
                <a:graphicData uri="http://schemas.microsoft.com/office/word/2010/wordprocessingShape">
                  <wps:wsp>
                    <wps:cNvCnPr/>
                    <wps:spPr>
                      <a:xfrm>
                        <a:off x="2321813" y="3780000"/>
                        <a:ext cx="6048375" cy="0"/>
                      </a:xfrm>
                      <a:prstGeom prst="straightConnector1">
                        <a:avLst/>
                      </a:prstGeom>
                      <a:noFill/>
                      <a:ln cap="flat" cmpd="sng" w="19050">
                        <a:solidFill>
                          <a:srgbClr val="00206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76200</wp:posOffset>
              </wp:positionV>
              <wp:extent cx="6048375" cy="19050"/>
              <wp:effectExtent b="0" l="0" r="0" t="0"/>
              <wp:wrapNone/>
              <wp:docPr id="3" name="image2.png"/>
              <a:graphic>
                <a:graphicData uri="http://schemas.openxmlformats.org/drawingml/2006/picture">
                  <pic:pic>
                    <pic:nvPicPr>
                      <pic:cNvPr id="0" name="image2.png"/>
                      <pic:cNvPicPr preferRelativeResize="0"/>
                    </pic:nvPicPr>
                    <pic:blipFill>
                      <a:blip r:embed="rId4"/>
                      <a:srcRect/>
                      <a:stretch>
                        <a:fillRect/>
                      </a:stretch>
                    </pic:blipFill>
                    <pic:spPr>
                      <a:xfrm>
                        <a:off x="0" y="0"/>
                        <a:ext cx="6048375" cy="19050"/>
                      </a:xfrm>
                      <a:prstGeom prst="rect"/>
                      <a:ln/>
                    </pic:spPr>
                  </pic:pic>
                </a:graphicData>
              </a:graphic>
            </wp:anchor>
          </w:drawing>
        </mc:Fallback>
      </mc:AlternateContent>
    </w:r>
  </w:p>
  <w:p w:rsidR="00000000" w:rsidDel="00000000" w:rsidP="00000000" w:rsidRDefault="00000000" w:rsidRPr="00000000" w14:paraId="00000047">
    <w:pPr>
      <w:shd w:fill="ffffff" w:val="clear"/>
      <w:tabs>
        <w:tab w:val="left" w:pos="5590"/>
      </w:tabs>
      <w:ind w:left="3119" w:firstLine="0"/>
      <w:rPr>
        <w:b w:val="1"/>
        <w:color w:val="5f497a"/>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F1363"/>
    <w:pPr>
      <w:spacing w:after="0" w:line="240" w:lineRule="auto"/>
    </w:pPr>
    <w:rPr>
      <w:rFonts w:ascii="Times New Roman" w:cs="Times New Roman" w:hAnsi="Times New Roman" w:eastAsiaTheme="minorEastAsia"/>
      <w:sz w:val="24"/>
      <w:szCs w:val="24"/>
      <w:lang w:eastAsia="zh-CN" w:val="ro-RO"/>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F1363"/>
    <w:pPr>
      <w:tabs>
        <w:tab w:val="center" w:pos="4680"/>
        <w:tab w:val="right" w:pos="9360"/>
      </w:tabs>
    </w:pPr>
  </w:style>
  <w:style w:type="character" w:styleId="HeaderChar" w:customStyle="1">
    <w:name w:val="Header Char"/>
    <w:basedOn w:val="DefaultParagraphFont"/>
    <w:link w:val="Header"/>
    <w:uiPriority w:val="99"/>
    <w:rsid w:val="007F1363"/>
    <w:rPr>
      <w:rFonts w:ascii="Times New Roman" w:cs="Times New Roman" w:hAnsi="Times New Roman" w:eastAsiaTheme="minorEastAsia"/>
      <w:sz w:val="24"/>
      <w:szCs w:val="24"/>
      <w:lang w:eastAsia="zh-CN" w:val="ro-RO"/>
    </w:rPr>
  </w:style>
  <w:style w:type="paragraph" w:styleId="Footer">
    <w:name w:val="footer"/>
    <w:basedOn w:val="Normal"/>
    <w:link w:val="FooterChar"/>
    <w:uiPriority w:val="99"/>
    <w:unhideWhenUsed w:val="1"/>
    <w:rsid w:val="007F1363"/>
    <w:pPr>
      <w:tabs>
        <w:tab w:val="center" w:pos="4680"/>
        <w:tab w:val="right" w:pos="9360"/>
      </w:tabs>
    </w:pPr>
  </w:style>
  <w:style w:type="character" w:styleId="FooterChar" w:customStyle="1">
    <w:name w:val="Footer Char"/>
    <w:basedOn w:val="DefaultParagraphFont"/>
    <w:link w:val="Footer"/>
    <w:uiPriority w:val="99"/>
    <w:rsid w:val="007F1363"/>
    <w:rPr>
      <w:rFonts w:ascii="Times New Roman" w:cs="Times New Roman" w:hAnsi="Times New Roman" w:eastAsiaTheme="minorEastAsia"/>
      <w:sz w:val="24"/>
      <w:szCs w:val="24"/>
      <w:lang w:eastAsia="zh-CN" w:val="ro-RO"/>
    </w:rPr>
  </w:style>
  <w:style w:type="character" w:styleId="apple-converted-space" w:customStyle="1">
    <w:name w:val="apple-converted-space"/>
    <w:basedOn w:val="DefaultParagraphFont"/>
    <w:rsid w:val="007F1363"/>
  </w:style>
  <w:style w:type="character" w:styleId="Hyperlink">
    <w:name w:val="Hyperlink"/>
    <w:basedOn w:val="DefaultParagraphFont"/>
    <w:uiPriority w:val="99"/>
    <w:unhideWhenUsed w:val="1"/>
    <w:rsid w:val="007F1363"/>
    <w:rPr>
      <w:color w:val="0563c1"/>
      <w:u w:val="single"/>
    </w:rPr>
  </w:style>
  <w:style w:type="paragraph" w:styleId="ListParagraph">
    <w:name w:val="List Paragraph"/>
    <w:basedOn w:val="Normal"/>
    <w:link w:val="ListParagraphChar"/>
    <w:uiPriority w:val="34"/>
    <w:qFormat w:val="1"/>
    <w:rsid w:val="007F1363"/>
    <w:pPr>
      <w:spacing w:after="200" w:line="276" w:lineRule="auto"/>
      <w:ind w:left="720"/>
      <w:contextualSpacing w:val="1"/>
    </w:pPr>
    <w:rPr>
      <w:rFonts w:ascii="Calibri" w:hAnsi="Calibri"/>
      <w:sz w:val="22"/>
      <w:szCs w:val="22"/>
      <w:lang w:val="ru-RU"/>
    </w:rPr>
  </w:style>
  <w:style w:type="character" w:styleId="ListParagraphChar" w:customStyle="1">
    <w:name w:val="List Paragraph Char"/>
    <w:link w:val="ListParagraph"/>
    <w:uiPriority w:val="34"/>
    <w:locked w:val="1"/>
    <w:rsid w:val="007F1363"/>
    <w:rPr>
      <w:rFonts w:ascii="Calibri" w:cs="Times New Roman" w:hAnsi="Calibri" w:eastAsiaTheme="minorEastAsia"/>
      <w:lang w:eastAsia="zh-CN" w:val="ru-RU"/>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galitatedegen.md/violenta-fata-de-femei-in-alegeri/" TargetMode="External"/><Relationship Id="rId8" Type="http://schemas.openxmlformats.org/officeDocument/2006/relationships/hyperlink" Target="https://gender.monitor.m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secretariat.platformadegen@gmail.com" TargetMode="External"/><Relationship Id="rId3" Type="http://schemas.openxmlformats.org/officeDocument/2006/relationships/hyperlink" Target="http://www.egalitatedegen.md"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w+AKgRSMe/x9GcihxrpiSn7GIQ==">AMUW2mUmHm6ay8gf7tzJAnM1eCX5+IZ3R3Mg4v6LPERihzTm8GddAAlLGp4vs+yjYD9M8s0HGVwEiWIV1uvy2f49cKN3yORkjNKGvWgGVJnly5aacpRG0q5ibN3dBfAk7yUGbPL+muYp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2020-11-10T11:52:00Z</dcterms:created>
  <dc:creator>Nina Lozinschi</dc:creator>
</cp:coreProperties>
</file>