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840A" w14:textId="77777777" w:rsidR="001C357B" w:rsidRPr="004C6275" w:rsidRDefault="001C357B" w:rsidP="001C357B">
      <w:pPr>
        <w:jc w:val="center"/>
        <w:rPr>
          <w:lang w:val="ro-RO"/>
        </w:rPr>
      </w:pPr>
    </w:p>
    <w:p w14:paraId="1AE7217E" w14:textId="77777777" w:rsidR="001C357B" w:rsidRPr="004C6275" w:rsidRDefault="001C357B" w:rsidP="001C357B">
      <w:pPr>
        <w:jc w:val="center"/>
        <w:rPr>
          <w:lang w:val="ro-RO"/>
        </w:rPr>
      </w:pPr>
    </w:p>
    <w:p w14:paraId="2FFC988B" w14:textId="77777777" w:rsidR="001C357B" w:rsidRPr="004C6275" w:rsidRDefault="001C357B" w:rsidP="001C357B">
      <w:pPr>
        <w:jc w:val="center"/>
        <w:rPr>
          <w:lang w:val="ro-RO"/>
        </w:rPr>
      </w:pPr>
    </w:p>
    <w:p w14:paraId="0874E810" w14:textId="77777777" w:rsidR="001C357B" w:rsidRPr="004C6275" w:rsidRDefault="001C357B" w:rsidP="001C357B">
      <w:pPr>
        <w:jc w:val="center"/>
        <w:rPr>
          <w:lang w:val="ro-RO"/>
        </w:rPr>
      </w:pPr>
    </w:p>
    <w:p w14:paraId="07F75FF1" w14:textId="77777777" w:rsidR="001C357B" w:rsidRPr="004C6275" w:rsidRDefault="001C357B" w:rsidP="001C357B">
      <w:pPr>
        <w:jc w:val="center"/>
        <w:rPr>
          <w:lang w:val="ro-RO"/>
        </w:rPr>
      </w:pPr>
    </w:p>
    <w:p w14:paraId="382867E2" w14:textId="77777777" w:rsidR="001C357B" w:rsidRPr="004C6275" w:rsidRDefault="001C357B" w:rsidP="001C357B">
      <w:pPr>
        <w:jc w:val="center"/>
        <w:rPr>
          <w:lang w:val="ro-RO"/>
        </w:rPr>
      </w:pPr>
    </w:p>
    <w:p w14:paraId="01261FF3" w14:textId="77777777" w:rsidR="001C357B" w:rsidRPr="004C6275" w:rsidRDefault="00A04B68" w:rsidP="001C357B">
      <w:pPr>
        <w:spacing w:after="0" w:line="240" w:lineRule="auto"/>
        <w:jc w:val="center"/>
        <w:rPr>
          <w:rFonts w:ascii="Calibri Light" w:hAnsi="Calibri Light" w:cstheme="minorHAnsi"/>
          <w:b/>
          <w:color w:val="17365D" w:themeColor="text2" w:themeShade="BF"/>
          <w:sz w:val="96"/>
          <w:szCs w:val="96"/>
          <w:lang w:val="ro-RO"/>
        </w:rPr>
      </w:pPr>
      <w:r w:rsidRPr="004C6275">
        <w:rPr>
          <w:rFonts w:ascii="Calibri Light" w:hAnsi="Calibri Light" w:cstheme="minorHAnsi"/>
          <w:b/>
          <w:color w:val="17365D" w:themeColor="text2" w:themeShade="BF"/>
          <w:sz w:val="96"/>
          <w:szCs w:val="96"/>
          <w:lang w:val="ro-RO"/>
        </w:rPr>
        <w:t xml:space="preserve">MANIFEST PENTRU EGALITATEA DE GEN </w:t>
      </w:r>
    </w:p>
    <w:p w14:paraId="2EA44E66" w14:textId="52B5794F" w:rsidR="00552CF7" w:rsidRPr="004C6275" w:rsidRDefault="00A04B68" w:rsidP="001C357B">
      <w:pPr>
        <w:spacing w:after="0" w:line="240" w:lineRule="auto"/>
        <w:jc w:val="center"/>
        <w:rPr>
          <w:rFonts w:cstheme="minorHAnsi"/>
          <w:color w:val="17365D" w:themeColor="text2" w:themeShade="BF"/>
          <w:sz w:val="44"/>
          <w:szCs w:val="44"/>
          <w:lang w:val="ro-RO"/>
        </w:rPr>
      </w:pPr>
      <w:r w:rsidRPr="004C6275">
        <w:rPr>
          <w:rFonts w:cstheme="minorHAnsi"/>
          <w:color w:val="17365D" w:themeColor="text2" w:themeShade="BF"/>
          <w:sz w:val="44"/>
          <w:szCs w:val="44"/>
          <w:lang w:val="ro-RO"/>
        </w:rPr>
        <w:t>Priorități de reformă</w:t>
      </w:r>
      <w:r w:rsidR="001C357B" w:rsidRPr="004C6275">
        <w:rPr>
          <w:rFonts w:cstheme="minorHAnsi"/>
          <w:color w:val="17365D" w:themeColor="text2" w:themeShade="BF"/>
          <w:sz w:val="44"/>
          <w:szCs w:val="44"/>
          <w:lang w:val="ro-RO"/>
        </w:rPr>
        <w:t xml:space="preserve"> </w:t>
      </w:r>
      <w:r w:rsidR="003F04EB" w:rsidRPr="004C6275">
        <w:rPr>
          <w:rFonts w:cstheme="minorHAnsi"/>
          <w:color w:val="17365D" w:themeColor="text2" w:themeShade="BF"/>
          <w:sz w:val="44"/>
          <w:szCs w:val="44"/>
          <w:lang w:val="ro-RO"/>
        </w:rPr>
        <w:t xml:space="preserve">cu privire la </w:t>
      </w:r>
      <w:r w:rsidRPr="004C6275">
        <w:rPr>
          <w:rFonts w:cstheme="minorHAnsi"/>
          <w:color w:val="17365D" w:themeColor="text2" w:themeShade="BF"/>
          <w:sz w:val="44"/>
          <w:szCs w:val="44"/>
          <w:lang w:val="ro-RO"/>
        </w:rPr>
        <w:t>promovarea</w:t>
      </w:r>
      <w:r w:rsidR="001C357B" w:rsidRPr="004C6275">
        <w:rPr>
          <w:rFonts w:cstheme="minorHAnsi"/>
          <w:color w:val="17365D" w:themeColor="text2" w:themeShade="BF"/>
          <w:sz w:val="44"/>
          <w:szCs w:val="44"/>
          <w:lang w:val="ro-RO"/>
        </w:rPr>
        <w:t xml:space="preserve"> egalității </w:t>
      </w:r>
      <w:r w:rsidR="003F04EB" w:rsidRPr="004C6275">
        <w:rPr>
          <w:rFonts w:cstheme="minorHAnsi"/>
          <w:color w:val="17365D" w:themeColor="text2" w:themeShade="BF"/>
          <w:sz w:val="44"/>
          <w:szCs w:val="44"/>
          <w:lang w:val="ro-RO"/>
        </w:rPr>
        <w:t xml:space="preserve">de șanse </w:t>
      </w:r>
      <w:r w:rsidR="00552CF7" w:rsidRPr="004C6275">
        <w:rPr>
          <w:rFonts w:cstheme="minorHAnsi"/>
          <w:color w:val="17365D" w:themeColor="text2" w:themeShade="BF"/>
          <w:sz w:val="44"/>
          <w:szCs w:val="44"/>
          <w:lang w:val="ro-RO"/>
        </w:rPr>
        <w:t>pentru femei și bărbați</w:t>
      </w:r>
    </w:p>
    <w:p w14:paraId="70605D78" w14:textId="77777777" w:rsidR="001C357B" w:rsidRPr="004C6275" w:rsidRDefault="001C357B" w:rsidP="001C357B">
      <w:pPr>
        <w:spacing w:after="0" w:line="240" w:lineRule="auto"/>
        <w:jc w:val="center"/>
        <w:rPr>
          <w:rFonts w:cstheme="minorHAnsi"/>
          <w:sz w:val="44"/>
          <w:szCs w:val="44"/>
          <w:lang w:val="ro-RO"/>
        </w:rPr>
      </w:pPr>
      <w:r w:rsidRPr="004C6275">
        <w:rPr>
          <w:rFonts w:cstheme="minorHAnsi"/>
          <w:color w:val="17365D" w:themeColor="text2" w:themeShade="BF"/>
          <w:sz w:val="44"/>
          <w:szCs w:val="44"/>
          <w:lang w:val="ro-RO"/>
        </w:rPr>
        <w:t>în Republica Moldova</w:t>
      </w:r>
      <w:r w:rsidR="003F04EB" w:rsidRPr="004C6275">
        <w:rPr>
          <w:rFonts w:cstheme="minorHAnsi"/>
          <w:color w:val="17365D" w:themeColor="text2" w:themeShade="BF"/>
          <w:sz w:val="44"/>
          <w:szCs w:val="44"/>
          <w:lang w:val="ro-RO"/>
        </w:rPr>
        <w:t>,</w:t>
      </w:r>
      <w:r w:rsidR="00EE5C95" w:rsidRPr="004C6275">
        <w:rPr>
          <w:rFonts w:cstheme="minorHAnsi"/>
          <w:color w:val="17365D" w:themeColor="text2" w:themeShade="BF"/>
          <w:sz w:val="44"/>
          <w:szCs w:val="44"/>
          <w:lang w:val="ro-RO"/>
        </w:rPr>
        <w:t xml:space="preserve"> </w:t>
      </w:r>
      <w:r w:rsidR="00A04B68" w:rsidRPr="004C6275">
        <w:rPr>
          <w:rFonts w:cstheme="minorHAnsi"/>
          <w:color w:val="17365D" w:themeColor="text2" w:themeShade="BF"/>
          <w:sz w:val="44"/>
          <w:szCs w:val="44"/>
          <w:lang w:val="ro-RO"/>
        </w:rPr>
        <w:t>2019-2022</w:t>
      </w:r>
    </w:p>
    <w:p w14:paraId="3BEEB5B3" w14:textId="77777777" w:rsidR="00920DAB" w:rsidRPr="004C6275" w:rsidRDefault="00920DAB" w:rsidP="001C357B">
      <w:pPr>
        <w:spacing w:after="0" w:line="240" w:lineRule="auto"/>
        <w:jc w:val="center"/>
        <w:rPr>
          <w:rFonts w:cstheme="minorHAnsi"/>
          <w:sz w:val="44"/>
          <w:szCs w:val="44"/>
          <w:lang w:val="ro-RO"/>
        </w:rPr>
      </w:pPr>
    </w:p>
    <w:p w14:paraId="4FBD61E1" w14:textId="77777777" w:rsidR="00920DAB" w:rsidRPr="004C6275" w:rsidRDefault="00920DAB" w:rsidP="001C357B">
      <w:pPr>
        <w:spacing w:after="0" w:line="240" w:lineRule="auto"/>
        <w:jc w:val="center"/>
        <w:rPr>
          <w:rFonts w:cstheme="minorHAnsi"/>
          <w:sz w:val="44"/>
          <w:szCs w:val="44"/>
          <w:lang w:val="ro-RO"/>
        </w:rPr>
      </w:pPr>
    </w:p>
    <w:p w14:paraId="2F60C404" w14:textId="77777777" w:rsidR="00920DAB" w:rsidRPr="004C6275" w:rsidRDefault="00920DAB" w:rsidP="001C357B">
      <w:pPr>
        <w:spacing w:after="0" w:line="240" w:lineRule="auto"/>
        <w:jc w:val="center"/>
        <w:rPr>
          <w:rFonts w:cstheme="minorHAnsi"/>
          <w:sz w:val="44"/>
          <w:szCs w:val="44"/>
          <w:lang w:val="ro-RO"/>
        </w:rPr>
      </w:pPr>
    </w:p>
    <w:p w14:paraId="373E58A9" w14:textId="77777777" w:rsidR="00B07F9D" w:rsidRDefault="00B07F9D" w:rsidP="004C6275">
      <w:pPr>
        <w:spacing w:after="0" w:line="240" w:lineRule="auto"/>
        <w:rPr>
          <w:rFonts w:cstheme="minorHAnsi"/>
          <w:color w:val="244061" w:themeColor="accent1" w:themeShade="80"/>
          <w:sz w:val="24"/>
          <w:szCs w:val="24"/>
          <w:lang w:val="ro-RO"/>
        </w:rPr>
      </w:pPr>
    </w:p>
    <w:p w14:paraId="39A75DCE" w14:textId="77777777" w:rsidR="00B07F9D" w:rsidRDefault="00B07F9D" w:rsidP="004C6275">
      <w:pPr>
        <w:spacing w:after="0" w:line="240" w:lineRule="auto"/>
        <w:rPr>
          <w:rFonts w:cstheme="minorHAnsi"/>
          <w:color w:val="244061" w:themeColor="accent1" w:themeShade="80"/>
          <w:sz w:val="24"/>
          <w:szCs w:val="24"/>
          <w:lang w:val="ro-RO"/>
        </w:rPr>
      </w:pPr>
    </w:p>
    <w:p w14:paraId="1C875CCF" w14:textId="773C6E4D" w:rsidR="00B07F9D" w:rsidRDefault="00B07F9D" w:rsidP="004C6275">
      <w:pPr>
        <w:spacing w:after="0" w:line="240" w:lineRule="auto"/>
        <w:rPr>
          <w:rFonts w:cstheme="minorHAnsi"/>
          <w:color w:val="244061" w:themeColor="accent1" w:themeShade="80"/>
          <w:sz w:val="24"/>
          <w:szCs w:val="24"/>
          <w:lang w:val="ro-RO"/>
        </w:rPr>
      </w:pPr>
    </w:p>
    <w:p w14:paraId="2C7034CC" w14:textId="77777777" w:rsidR="00B07F9D" w:rsidRDefault="00B07F9D" w:rsidP="004C6275">
      <w:pPr>
        <w:spacing w:after="0" w:line="240" w:lineRule="auto"/>
        <w:rPr>
          <w:rFonts w:cstheme="minorHAnsi"/>
          <w:color w:val="244061" w:themeColor="accent1" w:themeShade="80"/>
          <w:sz w:val="24"/>
          <w:szCs w:val="24"/>
          <w:lang w:val="ro-RO"/>
        </w:rPr>
      </w:pPr>
    </w:p>
    <w:p w14:paraId="634B6A63" w14:textId="77777777" w:rsidR="00B07F9D" w:rsidRDefault="00B07F9D" w:rsidP="004C6275">
      <w:pPr>
        <w:spacing w:after="0" w:line="240" w:lineRule="auto"/>
        <w:rPr>
          <w:rFonts w:cstheme="minorHAnsi"/>
          <w:color w:val="244061" w:themeColor="accent1" w:themeShade="80"/>
          <w:sz w:val="24"/>
          <w:szCs w:val="24"/>
          <w:lang w:val="ro-RO"/>
        </w:rPr>
      </w:pPr>
    </w:p>
    <w:p w14:paraId="754A20B9" w14:textId="5CDCDD59" w:rsidR="002D54BC" w:rsidRPr="002D54BC" w:rsidRDefault="004C6275" w:rsidP="004C6275">
      <w:pPr>
        <w:spacing w:after="0" w:line="240" w:lineRule="auto"/>
        <w:rPr>
          <w:rFonts w:cstheme="minorHAnsi"/>
          <w:b/>
          <w:color w:val="244061" w:themeColor="accent1" w:themeShade="80"/>
          <w:sz w:val="24"/>
          <w:szCs w:val="24"/>
          <w:lang w:val="ro-RO"/>
        </w:rPr>
      </w:pPr>
      <w:r w:rsidRPr="00815485">
        <w:rPr>
          <w:rFonts w:cstheme="minorHAnsi"/>
          <w:b/>
          <w:color w:val="244061" w:themeColor="accent1" w:themeShade="80"/>
          <w:sz w:val="24"/>
          <w:szCs w:val="24"/>
          <w:lang w:val="ro-RO"/>
        </w:rPr>
        <w:t>Propus de către:</w:t>
      </w:r>
    </w:p>
    <w:p w14:paraId="3FB4A71E" w14:textId="713765D2" w:rsidR="004C6275" w:rsidRPr="004C6275" w:rsidRDefault="004C6275" w:rsidP="004C6275">
      <w:pPr>
        <w:spacing w:after="0" w:line="240" w:lineRule="auto"/>
        <w:rPr>
          <w:rFonts w:cstheme="minorHAnsi"/>
          <w:color w:val="244061" w:themeColor="accent1" w:themeShade="80"/>
          <w:sz w:val="24"/>
          <w:szCs w:val="24"/>
          <w:lang w:val="ro-RO"/>
        </w:rPr>
      </w:pPr>
      <w:r w:rsidRPr="004C6275">
        <w:rPr>
          <w:rFonts w:cstheme="minorHAnsi"/>
          <w:color w:val="244061" w:themeColor="accent1" w:themeShade="80"/>
          <w:sz w:val="24"/>
          <w:szCs w:val="24"/>
          <w:lang w:val="ro-RO"/>
        </w:rPr>
        <w:t>Platforma pentru Egalitate de Gen</w:t>
      </w:r>
      <w:r w:rsidRPr="004C6275">
        <w:rPr>
          <w:rStyle w:val="FootnoteReference"/>
          <w:rFonts w:cstheme="minorHAnsi"/>
          <w:color w:val="244061" w:themeColor="accent1" w:themeShade="80"/>
          <w:sz w:val="24"/>
          <w:szCs w:val="24"/>
          <w:lang w:val="ro-RO"/>
        </w:rPr>
        <w:footnoteReference w:id="1"/>
      </w:r>
    </w:p>
    <w:p w14:paraId="0B9795E8" w14:textId="5E2C25C1" w:rsidR="004C6275" w:rsidRPr="004C6275" w:rsidRDefault="004C6275" w:rsidP="004C6275">
      <w:pPr>
        <w:spacing w:after="0" w:line="240" w:lineRule="auto"/>
        <w:rPr>
          <w:rFonts w:eastAsia="Times New Roman" w:cs="Times New Roman"/>
          <w:color w:val="244061" w:themeColor="accent1" w:themeShade="80"/>
          <w:sz w:val="24"/>
          <w:szCs w:val="24"/>
          <w:lang w:val="ro-RO"/>
        </w:rPr>
      </w:pPr>
      <w:r w:rsidRPr="004C6275">
        <w:rPr>
          <w:rFonts w:eastAsia="Times New Roman" w:cs="Times New Roman"/>
          <w:color w:val="244061" w:themeColor="accent1" w:themeShade="80"/>
          <w:sz w:val="24"/>
          <w:szCs w:val="24"/>
          <w:highlight w:val="white"/>
          <w:lang w:val="ro-RO"/>
        </w:rPr>
        <w:t>Coaliția Națională ”Viața fără Violență în Familie”</w:t>
      </w:r>
      <w:r w:rsidRPr="004C6275">
        <w:rPr>
          <w:rStyle w:val="FootnoteReference"/>
          <w:rFonts w:eastAsia="Times New Roman" w:cs="Times New Roman"/>
          <w:color w:val="244061" w:themeColor="accent1" w:themeShade="80"/>
          <w:sz w:val="24"/>
          <w:szCs w:val="24"/>
          <w:highlight w:val="white"/>
          <w:lang w:val="ro-RO"/>
        </w:rPr>
        <w:footnoteReference w:id="2"/>
      </w:r>
    </w:p>
    <w:p w14:paraId="5EB13587" w14:textId="3361B001" w:rsidR="004C6275" w:rsidRPr="004C6275" w:rsidRDefault="004C6275" w:rsidP="004C6275">
      <w:pPr>
        <w:spacing w:after="0" w:line="240" w:lineRule="auto"/>
        <w:rPr>
          <w:rFonts w:eastAsia="Times New Roman" w:cs="Times New Roman"/>
          <w:color w:val="244061" w:themeColor="accent1" w:themeShade="80"/>
          <w:sz w:val="24"/>
          <w:szCs w:val="24"/>
          <w:lang w:val="ro-RO"/>
        </w:rPr>
      </w:pPr>
      <w:r w:rsidRPr="004C6275">
        <w:rPr>
          <w:color w:val="244061" w:themeColor="accent1" w:themeShade="80"/>
          <w:sz w:val="24"/>
          <w:szCs w:val="24"/>
          <w:lang w:val="ro-RO"/>
        </w:rPr>
        <w:t>Asociația Obștească Centrul de informații GENDERDOC-M</w:t>
      </w:r>
    </w:p>
    <w:p w14:paraId="681F3F20" w14:textId="77777777" w:rsidR="004C6275" w:rsidRPr="004C6275" w:rsidRDefault="004C6275" w:rsidP="004C6275">
      <w:pPr>
        <w:spacing w:after="0" w:line="240" w:lineRule="auto"/>
        <w:rPr>
          <w:rFonts w:cstheme="minorHAnsi"/>
          <w:color w:val="1F497D" w:themeColor="text2"/>
          <w:sz w:val="24"/>
          <w:szCs w:val="24"/>
          <w:lang w:val="ro-RO"/>
        </w:rPr>
      </w:pPr>
    </w:p>
    <w:p w14:paraId="48FDB07E" w14:textId="77777777" w:rsidR="00920DAB" w:rsidRPr="004C6275" w:rsidRDefault="00920DAB" w:rsidP="001C357B">
      <w:pPr>
        <w:spacing w:after="0" w:line="240" w:lineRule="auto"/>
        <w:jc w:val="center"/>
        <w:rPr>
          <w:rFonts w:cstheme="minorHAnsi"/>
          <w:sz w:val="44"/>
          <w:szCs w:val="44"/>
          <w:lang w:val="ro-RO"/>
        </w:rPr>
      </w:pPr>
    </w:p>
    <w:p w14:paraId="172665C4" w14:textId="04D23E2C" w:rsidR="005B382E" w:rsidRPr="004C6275" w:rsidRDefault="005B382E" w:rsidP="008764F9">
      <w:pPr>
        <w:spacing w:after="0" w:line="240" w:lineRule="auto"/>
        <w:rPr>
          <w:rFonts w:cstheme="minorHAnsi"/>
          <w:sz w:val="44"/>
          <w:szCs w:val="44"/>
          <w:lang w:val="ro-RO"/>
        </w:rPr>
      </w:pPr>
    </w:p>
    <w:p w14:paraId="7A4CE590" w14:textId="77777777" w:rsidR="00920DAB" w:rsidRPr="004C6275" w:rsidRDefault="00920DAB" w:rsidP="00920DAB">
      <w:pPr>
        <w:spacing w:after="0" w:line="240" w:lineRule="auto"/>
        <w:jc w:val="both"/>
        <w:rPr>
          <w:rFonts w:ascii="Calibri Light" w:hAnsi="Calibri Light" w:cstheme="minorHAnsi"/>
          <w:b/>
          <w:color w:val="244061" w:themeColor="accent1" w:themeShade="80"/>
          <w:sz w:val="36"/>
          <w:szCs w:val="44"/>
          <w:lang w:val="ro-RO"/>
        </w:rPr>
      </w:pPr>
      <w:r w:rsidRPr="004C6275">
        <w:rPr>
          <w:rFonts w:ascii="Calibri Light" w:hAnsi="Calibri Light" w:cstheme="minorHAnsi"/>
          <w:b/>
          <w:color w:val="244061" w:themeColor="accent1" w:themeShade="80"/>
          <w:sz w:val="36"/>
          <w:szCs w:val="44"/>
          <w:lang w:val="ro-RO"/>
        </w:rPr>
        <w:t>INTRODUCERE</w:t>
      </w:r>
    </w:p>
    <w:p w14:paraId="730FB135" w14:textId="338E207E" w:rsidR="00920DAB" w:rsidRDefault="00920DAB" w:rsidP="00920DAB">
      <w:pPr>
        <w:spacing w:after="0" w:line="240" w:lineRule="auto"/>
        <w:jc w:val="both"/>
        <w:rPr>
          <w:rFonts w:cstheme="minorHAnsi"/>
          <w:lang w:val="ro-RO"/>
        </w:rPr>
      </w:pPr>
    </w:p>
    <w:p w14:paraId="6E814954" w14:textId="77777777" w:rsidR="00D957D7" w:rsidRPr="004C6275" w:rsidRDefault="00D957D7" w:rsidP="00920DAB">
      <w:pPr>
        <w:spacing w:after="0" w:line="240" w:lineRule="auto"/>
        <w:jc w:val="both"/>
        <w:rPr>
          <w:rFonts w:cstheme="minorHAnsi"/>
          <w:lang w:val="ro-RO"/>
        </w:rPr>
      </w:pPr>
    </w:p>
    <w:p w14:paraId="3C0E2DAC" w14:textId="75A3B5E0" w:rsidR="00DF3FAE" w:rsidRPr="004C6275" w:rsidRDefault="00DF3FAE" w:rsidP="00E56906">
      <w:pPr>
        <w:spacing w:after="0" w:line="240" w:lineRule="auto"/>
        <w:jc w:val="both"/>
        <w:rPr>
          <w:rFonts w:cstheme="minorHAnsi"/>
          <w:b/>
          <w:lang w:val="ro-RO"/>
        </w:rPr>
      </w:pPr>
      <w:r w:rsidRPr="004C6275">
        <w:rPr>
          <w:rFonts w:cstheme="minorHAnsi"/>
          <w:b/>
          <w:lang w:val="ro-RO"/>
        </w:rPr>
        <w:t xml:space="preserve">Toate reformele </w:t>
      </w:r>
      <w:r w:rsidR="00500958" w:rsidRPr="004C6275">
        <w:rPr>
          <w:rFonts w:cstheme="minorHAnsi"/>
          <w:b/>
          <w:lang w:val="ro-RO"/>
        </w:rPr>
        <w:t xml:space="preserve">cu privire la </w:t>
      </w:r>
      <w:r w:rsidRPr="004C6275">
        <w:rPr>
          <w:rFonts w:cstheme="minorHAnsi"/>
          <w:b/>
          <w:lang w:val="ro-RO"/>
        </w:rPr>
        <w:t xml:space="preserve">promovarea egalității de gen din ultimii patru ani </w:t>
      </w:r>
      <w:r w:rsidR="00E56906" w:rsidRPr="004C6275">
        <w:rPr>
          <w:rFonts w:cstheme="minorHAnsi"/>
          <w:b/>
          <w:lang w:val="ro-RO"/>
        </w:rPr>
        <w:t xml:space="preserve">au fost </w:t>
      </w:r>
      <w:r w:rsidR="00B52782" w:rsidRPr="004C6275">
        <w:rPr>
          <w:rFonts w:cstheme="minorHAnsi"/>
          <w:b/>
          <w:lang w:val="ro-RO"/>
        </w:rPr>
        <w:t xml:space="preserve">realizate </w:t>
      </w:r>
      <w:r w:rsidR="00E56906" w:rsidRPr="004C6275">
        <w:rPr>
          <w:rFonts w:cstheme="minorHAnsi"/>
          <w:b/>
          <w:lang w:val="ro-RO"/>
        </w:rPr>
        <w:t>pe jumătate de</w:t>
      </w:r>
      <w:r w:rsidR="00B52782" w:rsidRPr="004C6275">
        <w:rPr>
          <w:rFonts w:cstheme="minorHAnsi"/>
          <w:b/>
          <w:lang w:val="ro-RO"/>
        </w:rPr>
        <w:t xml:space="preserve"> </w:t>
      </w:r>
      <w:r w:rsidR="00E56906" w:rsidRPr="004C6275">
        <w:rPr>
          <w:rFonts w:cstheme="minorHAnsi"/>
          <w:b/>
          <w:lang w:val="ro-RO"/>
        </w:rPr>
        <w:t>măsură</w:t>
      </w:r>
      <w:r w:rsidR="00531A89" w:rsidRPr="004C6275">
        <w:rPr>
          <w:rFonts w:cstheme="minorHAnsi"/>
          <w:b/>
          <w:lang w:val="ro-RO"/>
        </w:rPr>
        <w:t>.</w:t>
      </w:r>
      <w:r w:rsidR="00B52782" w:rsidRPr="004C6275">
        <w:rPr>
          <w:rFonts w:cstheme="minorHAnsi"/>
          <w:b/>
          <w:lang w:val="ro-RO"/>
        </w:rPr>
        <w:t xml:space="preserve"> </w:t>
      </w:r>
      <w:r w:rsidR="00B52782" w:rsidRPr="004C6275">
        <w:rPr>
          <w:rFonts w:cstheme="minorHAnsi"/>
          <w:lang w:val="ro-RO"/>
        </w:rPr>
        <w:t>Chiar dacă în anul 2016 Parlamentul</w:t>
      </w:r>
      <w:r w:rsidR="00F32B5D" w:rsidRPr="004C6275">
        <w:rPr>
          <w:rFonts w:cstheme="minorHAnsi"/>
          <w:lang w:val="ro-RO"/>
        </w:rPr>
        <w:t xml:space="preserve"> a adoptat o serie de prevederi legale</w:t>
      </w:r>
      <w:r w:rsidR="00F32B5D" w:rsidRPr="004C6275">
        <w:rPr>
          <w:rStyle w:val="FootnoteReference"/>
          <w:rFonts w:cstheme="minorHAnsi"/>
          <w:lang w:val="ro-RO"/>
        </w:rPr>
        <w:footnoteReference w:id="3"/>
      </w:r>
      <w:r w:rsidR="00B52782" w:rsidRPr="004C6275">
        <w:rPr>
          <w:rFonts w:cstheme="minorHAnsi"/>
          <w:lang w:val="ro-RO"/>
        </w:rPr>
        <w:t xml:space="preserve"> </w:t>
      </w:r>
      <w:r w:rsidR="00F32B5D" w:rsidRPr="004C6275">
        <w:rPr>
          <w:rFonts w:cstheme="minorHAnsi"/>
          <w:lang w:val="ro-RO"/>
        </w:rPr>
        <w:t xml:space="preserve">menite să îmbunătățească nivelul de reprezentare a femeilor în procesul decizional, eficiența acestora a fost redusă </w:t>
      </w:r>
      <w:r w:rsidR="00500958" w:rsidRPr="004C6275">
        <w:rPr>
          <w:rFonts w:cstheme="minorHAnsi"/>
          <w:lang w:val="ro-RO"/>
        </w:rPr>
        <w:t>esențial</w:t>
      </w:r>
      <w:r w:rsidR="00F32B5D" w:rsidRPr="004C6275">
        <w:rPr>
          <w:rFonts w:cstheme="minorHAnsi"/>
          <w:lang w:val="ro-RO"/>
        </w:rPr>
        <w:t xml:space="preserve"> </w:t>
      </w:r>
      <w:r w:rsidR="00500958" w:rsidRPr="004C6275">
        <w:rPr>
          <w:rFonts w:cstheme="minorHAnsi"/>
          <w:lang w:val="ro-RO"/>
        </w:rPr>
        <w:t xml:space="preserve">de </w:t>
      </w:r>
      <w:r w:rsidR="00F32B5D" w:rsidRPr="004C6275">
        <w:rPr>
          <w:rFonts w:cstheme="minorHAnsi"/>
          <w:lang w:val="ro-RO"/>
        </w:rPr>
        <w:t>decizii</w:t>
      </w:r>
      <w:r w:rsidR="00500958" w:rsidRPr="004C6275">
        <w:rPr>
          <w:rFonts w:cstheme="minorHAnsi"/>
          <w:lang w:val="ro-RO"/>
        </w:rPr>
        <w:t>le</w:t>
      </w:r>
      <w:r w:rsidR="00F32B5D" w:rsidRPr="004C6275">
        <w:rPr>
          <w:rFonts w:cstheme="minorHAnsi"/>
          <w:lang w:val="ro-RO"/>
        </w:rPr>
        <w:t xml:space="preserve"> ulterioare a</w:t>
      </w:r>
      <w:r w:rsidR="00500958" w:rsidRPr="004C6275">
        <w:rPr>
          <w:rFonts w:cstheme="minorHAnsi"/>
          <w:lang w:val="ro-RO"/>
        </w:rPr>
        <w:t>le</w:t>
      </w:r>
      <w:r w:rsidR="00F32B5D" w:rsidRPr="004C6275">
        <w:rPr>
          <w:rFonts w:cstheme="minorHAnsi"/>
          <w:lang w:val="ro-RO"/>
        </w:rPr>
        <w:t xml:space="preserve"> </w:t>
      </w:r>
      <w:r w:rsidR="00F004CC" w:rsidRPr="004C6275">
        <w:rPr>
          <w:rFonts w:cstheme="minorHAnsi"/>
          <w:lang w:val="ro-RO"/>
        </w:rPr>
        <w:t>Organului legislativ</w:t>
      </w:r>
      <w:r w:rsidR="00F32B5D" w:rsidRPr="004C6275">
        <w:rPr>
          <w:rFonts w:cstheme="minorHAnsi"/>
          <w:lang w:val="ro-RO"/>
        </w:rPr>
        <w:t>. Spre exemplu,</w:t>
      </w:r>
      <w:r w:rsidR="00B52782" w:rsidRPr="004C6275">
        <w:rPr>
          <w:rFonts w:cstheme="minorHAnsi"/>
          <w:lang w:val="ro-RO"/>
        </w:rPr>
        <w:t xml:space="preserve"> </w:t>
      </w:r>
      <w:r w:rsidR="00F32B5D" w:rsidRPr="004C6275">
        <w:rPr>
          <w:rFonts w:cstheme="minorHAnsi"/>
          <w:i/>
          <w:lang w:val="ro-RO"/>
        </w:rPr>
        <w:t>eficiența cotei minime de 40%</w:t>
      </w:r>
      <w:r w:rsidR="00F32B5D" w:rsidRPr="004C6275">
        <w:rPr>
          <w:rFonts w:cstheme="minorHAnsi"/>
          <w:lang w:val="ro-RO"/>
        </w:rPr>
        <w:t xml:space="preserve"> a fost </w:t>
      </w:r>
      <w:r w:rsidR="00F004CC" w:rsidRPr="004C6275">
        <w:rPr>
          <w:rFonts w:cstheme="minorHAnsi"/>
          <w:lang w:val="ro-RO"/>
        </w:rPr>
        <w:t xml:space="preserve">diminuată </w:t>
      </w:r>
      <w:r w:rsidR="00F32B5D" w:rsidRPr="004C6275">
        <w:rPr>
          <w:rFonts w:cstheme="minorHAnsi"/>
          <w:lang w:val="ro-RO"/>
        </w:rPr>
        <w:t>prin schimbarea sistemului electoral</w:t>
      </w:r>
      <w:r w:rsidR="00F004CC" w:rsidRPr="004C6275">
        <w:rPr>
          <w:rFonts w:cstheme="minorHAnsi"/>
          <w:lang w:val="ro-RO"/>
        </w:rPr>
        <w:t>.</w:t>
      </w:r>
      <w:r w:rsidR="00F72E3D" w:rsidRPr="004C6275">
        <w:rPr>
          <w:rFonts w:cstheme="minorHAnsi"/>
          <w:lang w:val="ro-RO"/>
        </w:rPr>
        <w:t xml:space="preserve"> </w:t>
      </w:r>
      <w:r w:rsidR="00F004CC" w:rsidRPr="004C6275">
        <w:rPr>
          <w:rFonts w:cstheme="minorHAnsi"/>
          <w:lang w:val="ro-RO"/>
        </w:rPr>
        <w:t xml:space="preserve">Prevederea </w:t>
      </w:r>
      <w:r w:rsidR="00F32B5D" w:rsidRPr="004C6275">
        <w:rPr>
          <w:rFonts w:cstheme="minorHAnsi"/>
          <w:i/>
          <w:lang w:val="ro-RO"/>
        </w:rPr>
        <w:t>cotei de 40% la formarea Guvernului</w:t>
      </w:r>
      <w:r w:rsidR="00F32B5D" w:rsidRPr="004C6275">
        <w:rPr>
          <w:rFonts w:cstheme="minorHAnsi"/>
          <w:lang w:val="ro-RO"/>
        </w:rPr>
        <w:t xml:space="preserve"> a fost eliminată </w:t>
      </w:r>
      <w:r w:rsidR="00F004CC" w:rsidRPr="004C6275">
        <w:rPr>
          <w:rFonts w:cstheme="minorHAnsi"/>
          <w:lang w:val="ro-RO"/>
        </w:rPr>
        <w:t>odată cu</w:t>
      </w:r>
      <w:r w:rsidR="00102AA6" w:rsidRPr="004C6275">
        <w:rPr>
          <w:rFonts w:cstheme="minorHAnsi"/>
          <w:lang w:val="ro-RO"/>
        </w:rPr>
        <w:t xml:space="preserve"> adopta</w:t>
      </w:r>
      <w:r w:rsidR="00F004CC" w:rsidRPr="004C6275">
        <w:rPr>
          <w:rFonts w:cstheme="minorHAnsi"/>
          <w:lang w:val="ro-RO"/>
        </w:rPr>
        <w:t>rea</w:t>
      </w:r>
      <w:r w:rsidR="00102AA6" w:rsidRPr="004C6275">
        <w:rPr>
          <w:rFonts w:cstheme="minorHAnsi"/>
          <w:lang w:val="ro-RO"/>
        </w:rPr>
        <w:t xml:space="preserve"> no</w:t>
      </w:r>
      <w:r w:rsidR="00F004CC" w:rsidRPr="004C6275">
        <w:rPr>
          <w:rFonts w:cstheme="minorHAnsi"/>
          <w:lang w:val="ro-RO"/>
        </w:rPr>
        <w:t>ii</w:t>
      </w:r>
      <w:r w:rsidR="00102AA6" w:rsidRPr="004C6275">
        <w:rPr>
          <w:rFonts w:cstheme="minorHAnsi"/>
          <w:lang w:val="ro-RO"/>
        </w:rPr>
        <w:t xml:space="preserve"> variant</w:t>
      </w:r>
      <w:r w:rsidR="00F004CC" w:rsidRPr="004C6275">
        <w:rPr>
          <w:rFonts w:cstheme="minorHAnsi"/>
          <w:lang w:val="ro-RO"/>
        </w:rPr>
        <w:t>e</w:t>
      </w:r>
      <w:r w:rsidR="00102AA6" w:rsidRPr="004C6275">
        <w:rPr>
          <w:rFonts w:cstheme="minorHAnsi"/>
          <w:lang w:val="ro-RO"/>
        </w:rPr>
        <w:t xml:space="preserve"> a legii cu privire la Guvern. </w:t>
      </w:r>
      <w:r w:rsidR="004D09BB" w:rsidRPr="004C6275">
        <w:rPr>
          <w:rFonts w:cstheme="minorHAnsi"/>
          <w:lang w:val="ro-RO"/>
        </w:rPr>
        <w:t xml:space="preserve">Modificarea în anul 2016 a cadrului legislativ care reglementează prevenirea și combaterea violenței în familie în Republica Moldova a presupus asigurarea conformității acestuia cu prevederile Convenției Consiliului Europei privind </w:t>
      </w:r>
      <w:r w:rsidR="004D09BB" w:rsidRPr="004C6275">
        <w:rPr>
          <w:rFonts w:cstheme="minorHAnsi"/>
          <w:i/>
          <w:lang w:val="ro-RO"/>
        </w:rPr>
        <w:t>prevenirea și combaterea violenței față de femei și a violenței în familie</w:t>
      </w:r>
      <w:r w:rsidR="004D09BB" w:rsidRPr="004C6275">
        <w:rPr>
          <w:rFonts w:cstheme="minorHAnsi"/>
          <w:lang w:val="ro-RO"/>
        </w:rPr>
        <w:t xml:space="preserve">. </w:t>
      </w:r>
      <w:r w:rsidR="005D1233" w:rsidRPr="004C6275">
        <w:rPr>
          <w:rFonts w:cstheme="minorHAnsi"/>
          <w:lang w:val="ro-RO"/>
        </w:rPr>
        <w:t>Însă</w:t>
      </w:r>
      <w:r w:rsidR="00AD3AD6" w:rsidRPr="004C6275">
        <w:rPr>
          <w:rFonts w:cstheme="minorHAnsi"/>
          <w:lang w:val="ro-RO"/>
        </w:rPr>
        <w:t>,</w:t>
      </w:r>
      <w:r w:rsidR="004D09BB" w:rsidRPr="004C6275">
        <w:rPr>
          <w:rFonts w:cstheme="minorHAnsi"/>
          <w:lang w:val="ro-RO"/>
        </w:rPr>
        <w:t xml:space="preserve"> modificarea </w:t>
      </w:r>
      <w:r w:rsidR="005D1233" w:rsidRPr="004C6275">
        <w:rPr>
          <w:rFonts w:cstheme="minorHAnsi"/>
          <w:lang w:val="ro-RO"/>
        </w:rPr>
        <w:t xml:space="preserve">ulterioară a </w:t>
      </w:r>
      <w:r w:rsidR="004D09BB" w:rsidRPr="004C6275">
        <w:rPr>
          <w:rFonts w:cstheme="minorHAnsi"/>
          <w:lang w:val="ro-RO"/>
        </w:rPr>
        <w:t>Codului contravențional prin introducerea articol</w:t>
      </w:r>
      <w:r w:rsidR="005D1233" w:rsidRPr="004C6275">
        <w:rPr>
          <w:rFonts w:cstheme="minorHAnsi"/>
          <w:lang w:val="ro-RO"/>
        </w:rPr>
        <w:t>ului</w:t>
      </w:r>
      <w:r w:rsidR="004D09BB" w:rsidRPr="004C6275">
        <w:rPr>
          <w:rFonts w:cstheme="minorHAnsi"/>
          <w:lang w:val="ro-RO"/>
        </w:rPr>
        <w:t xml:space="preserve">  78/1 – Violența în familie – a subminat impactul amendamentelor din 2016. Drept urmare, numărul dosarelor contravenționale pe cazuri de violență în familie a crescut de două ieri, iar cel al dosarelor penale a scăzut de două ori, fapt care contribuie la impunitatea agresorilor și accesul limitat al victimelor violenței în familie la justiție. Schimbările</w:t>
      </w:r>
      <w:r w:rsidR="008B3F5A" w:rsidRPr="004C6275">
        <w:rPr>
          <w:rFonts w:cstheme="minorHAnsi"/>
          <w:lang w:val="ro-RO"/>
        </w:rPr>
        <w:t xml:space="preserve"> introduse în 2018 cu privire la </w:t>
      </w:r>
      <w:r w:rsidR="008B3F5A" w:rsidRPr="004C6275">
        <w:rPr>
          <w:rFonts w:cstheme="minorHAnsi"/>
          <w:i/>
          <w:lang w:val="ro-RO"/>
        </w:rPr>
        <w:t>concediul de îngrijire a copilului</w:t>
      </w:r>
      <w:r w:rsidR="008B3F5A" w:rsidRPr="004C6275">
        <w:rPr>
          <w:rFonts w:cstheme="minorHAnsi"/>
          <w:lang w:val="ro-RO"/>
        </w:rPr>
        <w:t xml:space="preserve"> nu au fost pe măsura așteptărilor</w:t>
      </w:r>
      <w:r w:rsidR="00B005BA" w:rsidRPr="004C6275">
        <w:rPr>
          <w:rFonts w:cstheme="minorHAnsi"/>
          <w:lang w:val="ro-RO"/>
        </w:rPr>
        <w:t>,</w:t>
      </w:r>
      <w:r w:rsidR="00552CF7" w:rsidRPr="004C6275">
        <w:rPr>
          <w:rFonts w:cstheme="minorHAnsi"/>
          <w:lang w:val="ro-RO"/>
        </w:rPr>
        <w:t xml:space="preserve"> iar modificarea Codului Educației menită să </w:t>
      </w:r>
      <w:r w:rsidR="00685405" w:rsidRPr="004C6275">
        <w:rPr>
          <w:rFonts w:cstheme="minorHAnsi"/>
          <w:lang w:val="ro-RO"/>
        </w:rPr>
        <w:t>extindă</w:t>
      </w:r>
      <w:r w:rsidR="00552CF7" w:rsidRPr="004C6275">
        <w:rPr>
          <w:rFonts w:cstheme="minorHAnsi"/>
          <w:lang w:val="ro-RO"/>
        </w:rPr>
        <w:t xml:space="preserve"> accesul copiilor de 2 ani la educația preșcolară a fost adoptată fără acoperire financiară. </w:t>
      </w:r>
    </w:p>
    <w:p w14:paraId="06FAFD39" w14:textId="77777777" w:rsidR="00102AA6" w:rsidRPr="004C6275" w:rsidRDefault="00102AA6" w:rsidP="00920DAB">
      <w:pPr>
        <w:spacing w:after="0" w:line="240" w:lineRule="auto"/>
        <w:jc w:val="both"/>
        <w:rPr>
          <w:rFonts w:cstheme="minorHAnsi"/>
          <w:lang w:val="ro-RO"/>
        </w:rPr>
      </w:pPr>
    </w:p>
    <w:p w14:paraId="65D13019" w14:textId="0DFA211C" w:rsidR="00102AA6" w:rsidRPr="004C6275" w:rsidRDefault="00102AA6" w:rsidP="00920DAB">
      <w:pPr>
        <w:spacing w:after="0" w:line="240" w:lineRule="auto"/>
        <w:jc w:val="both"/>
        <w:rPr>
          <w:rFonts w:cstheme="minorHAnsi"/>
          <w:lang w:val="ro-RO"/>
        </w:rPr>
      </w:pPr>
      <w:r w:rsidRPr="004C6275">
        <w:rPr>
          <w:rFonts w:cstheme="minorHAnsi"/>
          <w:b/>
          <w:lang w:val="ro-RO"/>
        </w:rPr>
        <w:t xml:space="preserve">Astfel, nivelul egalității de gen nu s-a îmbunătățit. </w:t>
      </w:r>
      <w:r w:rsidRPr="004C6275">
        <w:rPr>
          <w:rFonts w:cstheme="minorHAnsi"/>
          <w:lang w:val="ro-RO"/>
        </w:rPr>
        <w:t xml:space="preserve">Comparativ cu anul 2014, numărul de femei candidate nu a crescut. </w:t>
      </w:r>
      <w:r w:rsidR="00AD3AD6" w:rsidRPr="004C6275">
        <w:rPr>
          <w:rFonts w:cstheme="minorHAnsi"/>
          <w:lang w:val="ro-RO"/>
        </w:rPr>
        <w:t>C</w:t>
      </w:r>
      <w:r w:rsidRPr="004C6275">
        <w:rPr>
          <w:rFonts w:cstheme="minorHAnsi"/>
          <w:lang w:val="ro-RO"/>
        </w:rPr>
        <w:t>a și în anul 2014, femeile nu pot combina eficient viața profesională cu cea de familie. Diferențele salaria</w:t>
      </w:r>
      <w:r w:rsidR="002719D8" w:rsidRPr="004C6275">
        <w:rPr>
          <w:rFonts w:cstheme="minorHAnsi"/>
          <w:lang w:val="ro-RO"/>
        </w:rPr>
        <w:t xml:space="preserve">le și cele de pensii cresc, </w:t>
      </w:r>
      <w:r w:rsidRPr="004C6275">
        <w:rPr>
          <w:rFonts w:cstheme="minorHAnsi"/>
          <w:lang w:val="ro-RO"/>
        </w:rPr>
        <w:t>accesul la servicii pentru victimele violenței domestice nu a crescut semnificativ</w:t>
      </w:r>
      <w:r w:rsidR="002719D8" w:rsidRPr="004C6275">
        <w:rPr>
          <w:rFonts w:cstheme="minorHAnsi"/>
          <w:lang w:val="ro-RO"/>
        </w:rPr>
        <w:t>, iar b</w:t>
      </w:r>
      <w:r w:rsidRPr="004C6275">
        <w:rPr>
          <w:rFonts w:cstheme="minorHAnsi"/>
          <w:lang w:val="ro-RO"/>
        </w:rPr>
        <w:t xml:space="preserve">ărbații continuă să aibă o speranță medie a vieții cu 8 ani mai mică comparativ cu cea a femeilor. </w:t>
      </w:r>
    </w:p>
    <w:p w14:paraId="252F185C" w14:textId="77777777" w:rsidR="00552CF7" w:rsidRPr="004C6275" w:rsidRDefault="00552CF7" w:rsidP="00920DAB">
      <w:pPr>
        <w:spacing w:after="0" w:line="240" w:lineRule="auto"/>
        <w:jc w:val="both"/>
        <w:rPr>
          <w:rFonts w:cstheme="minorHAnsi"/>
          <w:lang w:val="ro-RO"/>
        </w:rPr>
      </w:pPr>
    </w:p>
    <w:p w14:paraId="1AC63CC5" w14:textId="2B903F7D" w:rsidR="00102AA6" w:rsidRPr="004C6275" w:rsidRDefault="008A7887" w:rsidP="00920DAB">
      <w:pPr>
        <w:spacing w:after="0" w:line="240" w:lineRule="auto"/>
        <w:jc w:val="both"/>
        <w:rPr>
          <w:rFonts w:cstheme="minorHAnsi"/>
          <w:lang w:val="ro-RO"/>
        </w:rPr>
      </w:pPr>
      <w:r w:rsidRPr="004C6275">
        <w:rPr>
          <w:rFonts w:cstheme="minorHAnsi"/>
          <w:b/>
          <w:lang w:val="ro-RO"/>
        </w:rPr>
        <w:t>Organizațiile semnatare cheamă toți concurenții electorali să-și asume priorități</w:t>
      </w:r>
      <w:r w:rsidR="002719D8" w:rsidRPr="004C6275">
        <w:rPr>
          <w:rFonts w:cstheme="minorHAnsi"/>
          <w:b/>
          <w:lang w:val="ro-RO"/>
        </w:rPr>
        <w:t>le</w:t>
      </w:r>
      <w:r w:rsidRPr="004C6275">
        <w:rPr>
          <w:rFonts w:cstheme="minorHAnsi"/>
          <w:b/>
          <w:lang w:val="ro-RO"/>
        </w:rPr>
        <w:t xml:space="preserve"> de reformă din acest MANIFEST. </w:t>
      </w:r>
      <w:r w:rsidRPr="004C6275">
        <w:rPr>
          <w:rFonts w:cstheme="minorHAnsi"/>
          <w:lang w:val="ro-RO"/>
        </w:rPr>
        <w:t xml:space="preserve">Indiferent dacă vor accede la guvernare sau </w:t>
      </w:r>
      <w:r w:rsidR="005D1233" w:rsidRPr="004C6275">
        <w:rPr>
          <w:rFonts w:cstheme="minorHAnsi"/>
          <w:lang w:val="ro-RO"/>
        </w:rPr>
        <w:t xml:space="preserve">se vor afla </w:t>
      </w:r>
      <w:r w:rsidRPr="004C6275">
        <w:rPr>
          <w:rFonts w:cstheme="minorHAnsi"/>
          <w:lang w:val="ro-RO"/>
        </w:rPr>
        <w:t xml:space="preserve">în opoziție, </w:t>
      </w:r>
      <w:r w:rsidR="005D1233" w:rsidRPr="004C6275">
        <w:rPr>
          <w:rFonts w:cstheme="minorHAnsi"/>
          <w:lang w:val="ro-RO"/>
        </w:rPr>
        <w:t xml:space="preserve">dacă </w:t>
      </w:r>
      <w:r w:rsidRPr="004C6275">
        <w:rPr>
          <w:rFonts w:cstheme="minorHAnsi"/>
          <w:lang w:val="ro-RO"/>
        </w:rPr>
        <w:t xml:space="preserve">vor </w:t>
      </w:r>
      <w:r w:rsidR="005D1233" w:rsidRPr="004C6275">
        <w:rPr>
          <w:rFonts w:cstheme="minorHAnsi"/>
          <w:lang w:val="ro-RO"/>
        </w:rPr>
        <w:t>deveni</w:t>
      </w:r>
      <w:r w:rsidRPr="004C6275">
        <w:rPr>
          <w:rFonts w:cstheme="minorHAnsi"/>
          <w:lang w:val="ro-RO"/>
        </w:rPr>
        <w:t xml:space="preserve"> partide parlamentare </w:t>
      </w:r>
      <w:r w:rsidR="00B52782" w:rsidRPr="004C6275">
        <w:rPr>
          <w:rFonts w:cstheme="minorHAnsi"/>
          <w:lang w:val="ro-RO"/>
        </w:rPr>
        <w:t>sau</w:t>
      </w:r>
      <w:r w:rsidRPr="004C6275">
        <w:rPr>
          <w:rFonts w:cstheme="minorHAnsi"/>
          <w:lang w:val="ro-RO"/>
        </w:rPr>
        <w:t xml:space="preserve"> vor activa în afara parlamentului, asumarea unor angajamente ferme și ambițioase din acest MANIFEST va</w:t>
      </w:r>
      <w:r w:rsidR="00FC693A" w:rsidRPr="004C6275">
        <w:rPr>
          <w:rFonts w:cstheme="minorHAnsi"/>
          <w:lang w:val="ro-RO"/>
        </w:rPr>
        <w:t xml:space="preserve"> contribui la asigurarea și sporirea </w:t>
      </w:r>
      <w:r w:rsidR="005D4718" w:rsidRPr="004C6275">
        <w:rPr>
          <w:rFonts w:cstheme="minorHAnsi"/>
          <w:lang w:val="ro-RO"/>
        </w:rPr>
        <w:t>nivelului egalității de gen</w:t>
      </w:r>
      <w:r w:rsidR="00FC693A" w:rsidRPr="004C6275">
        <w:rPr>
          <w:rFonts w:cstheme="minorHAnsi"/>
          <w:lang w:val="ro-RO"/>
        </w:rPr>
        <w:t xml:space="preserve"> în 6 domenii importante: procesul decizional, prevenirea și combaterea violenței domestice, piața muncii, sănătate, </w:t>
      </w:r>
      <w:proofErr w:type="spellStart"/>
      <w:r w:rsidR="00FC693A" w:rsidRPr="004C6275">
        <w:rPr>
          <w:rFonts w:cstheme="minorHAnsi"/>
          <w:lang w:val="ro-RO"/>
        </w:rPr>
        <w:t>antreprenoriat</w:t>
      </w:r>
      <w:proofErr w:type="spellEnd"/>
      <w:r w:rsidR="00FC693A" w:rsidRPr="004C6275">
        <w:rPr>
          <w:rFonts w:cstheme="minorHAnsi"/>
          <w:lang w:val="ro-RO"/>
        </w:rPr>
        <w:t xml:space="preserve"> și instituții </w:t>
      </w:r>
      <w:r w:rsidR="005D4718" w:rsidRPr="004C6275">
        <w:rPr>
          <w:rFonts w:cstheme="minorHAnsi"/>
          <w:lang w:val="ro-RO"/>
        </w:rPr>
        <w:t>ce promovează egalitatea.</w:t>
      </w:r>
    </w:p>
    <w:p w14:paraId="4215FFA6" w14:textId="77777777" w:rsidR="00102AA6" w:rsidRPr="004C6275" w:rsidRDefault="00102AA6" w:rsidP="00920DAB">
      <w:pPr>
        <w:spacing w:after="0" w:line="240" w:lineRule="auto"/>
        <w:jc w:val="both"/>
        <w:rPr>
          <w:rFonts w:cstheme="minorHAnsi"/>
          <w:b/>
          <w:lang w:val="ro-RO"/>
        </w:rPr>
      </w:pPr>
    </w:p>
    <w:p w14:paraId="60FD51FA" w14:textId="77777777" w:rsidR="00102AA6" w:rsidRPr="004C6275" w:rsidRDefault="00102AA6" w:rsidP="00920DAB">
      <w:pPr>
        <w:spacing w:after="0" w:line="240" w:lineRule="auto"/>
        <w:jc w:val="both"/>
        <w:rPr>
          <w:rFonts w:cstheme="minorHAnsi"/>
          <w:lang w:val="ro-RO"/>
        </w:rPr>
      </w:pPr>
    </w:p>
    <w:p w14:paraId="713ED961" w14:textId="77777777" w:rsidR="00102AA6" w:rsidRPr="004C6275" w:rsidRDefault="00102AA6" w:rsidP="00920DAB">
      <w:pPr>
        <w:spacing w:after="0" w:line="240" w:lineRule="auto"/>
        <w:jc w:val="both"/>
        <w:rPr>
          <w:rFonts w:cstheme="minorHAnsi"/>
          <w:b/>
          <w:lang w:val="ro-RO"/>
        </w:rPr>
      </w:pPr>
    </w:p>
    <w:p w14:paraId="13265E38" w14:textId="77777777" w:rsidR="00102AA6" w:rsidRPr="004C6275" w:rsidRDefault="00102AA6" w:rsidP="00920DAB">
      <w:pPr>
        <w:spacing w:after="0" w:line="240" w:lineRule="auto"/>
        <w:jc w:val="both"/>
        <w:rPr>
          <w:rFonts w:cstheme="minorHAnsi"/>
          <w:lang w:val="ro-RO"/>
        </w:rPr>
      </w:pPr>
    </w:p>
    <w:p w14:paraId="41F9471C" w14:textId="77777777" w:rsidR="00102AA6" w:rsidRPr="004C6275" w:rsidRDefault="00102AA6" w:rsidP="00920DAB">
      <w:pPr>
        <w:spacing w:after="0" w:line="240" w:lineRule="auto"/>
        <w:jc w:val="both"/>
        <w:rPr>
          <w:rFonts w:cstheme="minorHAnsi"/>
          <w:lang w:val="ro-RO"/>
        </w:rPr>
      </w:pPr>
    </w:p>
    <w:p w14:paraId="1329E2ED" w14:textId="5985F094" w:rsidR="00920DAB" w:rsidRPr="004C6275" w:rsidRDefault="00F85E28" w:rsidP="00F85E28">
      <w:pPr>
        <w:tabs>
          <w:tab w:val="left" w:pos="3255"/>
        </w:tabs>
        <w:spacing w:after="0" w:line="240" w:lineRule="auto"/>
        <w:jc w:val="both"/>
        <w:rPr>
          <w:rFonts w:cstheme="minorHAnsi"/>
          <w:sz w:val="44"/>
          <w:szCs w:val="44"/>
          <w:lang w:val="ro-RO"/>
        </w:rPr>
      </w:pPr>
      <w:r w:rsidRPr="004C6275">
        <w:rPr>
          <w:rFonts w:cstheme="minorHAnsi"/>
          <w:sz w:val="44"/>
          <w:szCs w:val="44"/>
          <w:lang w:val="ro-RO"/>
        </w:rPr>
        <w:tab/>
      </w:r>
    </w:p>
    <w:p w14:paraId="48F36B33" w14:textId="77777777" w:rsidR="00920DAB" w:rsidRPr="004C6275" w:rsidRDefault="00920DAB" w:rsidP="00920DAB">
      <w:pPr>
        <w:spacing w:after="0" w:line="240" w:lineRule="auto"/>
        <w:jc w:val="both"/>
        <w:rPr>
          <w:rFonts w:cstheme="minorHAnsi"/>
          <w:sz w:val="44"/>
          <w:szCs w:val="44"/>
          <w:lang w:val="ro-RO"/>
        </w:rPr>
      </w:pPr>
    </w:p>
    <w:p w14:paraId="3D6459D8" w14:textId="77777777" w:rsidR="00920DAB" w:rsidRPr="004C6275" w:rsidRDefault="00920DAB" w:rsidP="00920DAB">
      <w:pPr>
        <w:spacing w:after="0" w:line="240" w:lineRule="auto"/>
        <w:jc w:val="both"/>
        <w:rPr>
          <w:rFonts w:cstheme="minorHAnsi"/>
          <w:sz w:val="44"/>
          <w:szCs w:val="44"/>
          <w:lang w:val="ro-RO"/>
        </w:rPr>
      </w:pPr>
    </w:p>
    <w:p w14:paraId="4DD796E6" w14:textId="77777777" w:rsidR="00920DAB" w:rsidRPr="004C6275" w:rsidRDefault="00920DAB" w:rsidP="00920DAB">
      <w:pPr>
        <w:spacing w:after="0" w:line="240" w:lineRule="auto"/>
        <w:jc w:val="both"/>
        <w:rPr>
          <w:rFonts w:cstheme="minorHAnsi"/>
          <w:sz w:val="44"/>
          <w:szCs w:val="44"/>
          <w:lang w:val="ro-RO"/>
        </w:rPr>
      </w:pPr>
    </w:p>
    <w:p w14:paraId="62C4D0D1" w14:textId="77777777" w:rsidR="008764F9" w:rsidRPr="004C6275" w:rsidRDefault="008764F9" w:rsidP="00920DAB">
      <w:pPr>
        <w:spacing w:after="0" w:line="240" w:lineRule="auto"/>
        <w:jc w:val="both"/>
        <w:rPr>
          <w:rFonts w:cstheme="minorHAnsi"/>
          <w:sz w:val="44"/>
          <w:szCs w:val="44"/>
          <w:lang w:val="ro-RO"/>
        </w:rPr>
      </w:pPr>
    </w:p>
    <w:p w14:paraId="2235E6B7" w14:textId="57606580" w:rsidR="005B382E" w:rsidRDefault="005B382E" w:rsidP="00920DAB">
      <w:pPr>
        <w:spacing w:after="0" w:line="240" w:lineRule="auto"/>
        <w:jc w:val="both"/>
        <w:rPr>
          <w:rFonts w:ascii="Calibri Light" w:hAnsi="Calibri Light" w:cstheme="minorHAnsi"/>
          <w:b/>
          <w:color w:val="244061" w:themeColor="accent1" w:themeShade="80"/>
          <w:sz w:val="36"/>
          <w:szCs w:val="44"/>
          <w:lang w:val="ro-RO"/>
        </w:rPr>
      </w:pPr>
    </w:p>
    <w:p w14:paraId="2822B226" w14:textId="72010AF6" w:rsidR="00F13491" w:rsidRDefault="00F13491" w:rsidP="00920DAB">
      <w:pPr>
        <w:spacing w:after="0" w:line="240" w:lineRule="auto"/>
        <w:jc w:val="both"/>
        <w:rPr>
          <w:rFonts w:ascii="Calibri Light" w:hAnsi="Calibri Light" w:cstheme="minorHAnsi"/>
          <w:b/>
          <w:color w:val="244061" w:themeColor="accent1" w:themeShade="80"/>
          <w:sz w:val="36"/>
          <w:szCs w:val="44"/>
          <w:lang w:val="ro-RO"/>
        </w:rPr>
      </w:pPr>
    </w:p>
    <w:p w14:paraId="2D0E7DD9" w14:textId="77777777" w:rsidR="00F13491" w:rsidRDefault="00F13491" w:rsidP="00920DAB">
      <w:pPr>
        <w:spacing w:after="0" w:line="240" w:lineRule="auto"/>
        <w:jc w:val="both"/>
        <w:rPr>
          <w:rFonts w:ascii="Calibri Light" w:hAnsi="Calibri Light" w:cstheme="minorHAnsi"/>
          <w:b/>
          <w:color w:val="244061" w:themeColor="accent1" w:themeShade="80"/>
          <w:sz w:val="36"/>
          <w:szCs w:val="44"/>
          <w:lang w:val="ro-RO"/>
        </w:rPr>
      </w:pPr>
    </w:p>
    <w:p w14:paraId="24E622D1" w14:textId="77777777" w:rsidR="005B382E" w:rsidRDefault="005B382E" w:rsidP="00920DAB">
      <w:pPr>
        <w:spacing w:after="0" w:line="240" w:lineRule="auto"/>
        <w:jc w:val="both"/>
        <w:rPr>
          <w:rFonts w:ascii="Calibri Light" w:hAnsi="Calibri Light" w:cstheme="minorHAnsi"/>
          <w:b/>
          <w:color w:val="244061" w:themeColor="accent1" w:themeShade="80"/>
          <w:sz w:val="36"/>
          <w:szCs w:val="44"/>
          <w:lang w:val="ro-RO"/>
        </w:rPr>
      </w:pPr>
    </w:p>
    <w:p w14:paraId="70F5246C" w14:textId="7A72E5C8" w:rsidR="00920DAB" w:rsidRPr="00D957D7" w:rsidRDefault="00920DAB" w:rsidP="00920DAB">
      <w:pPr>
        <w:spacing w:after="0" w:line="240" w:lineRule="auto"/>
        <w:jc w:val="both"/>
        <w:rPr>
          <w:rFonts w:ascii="Calibri Light" w:hAnsi="Calibri Light" w:cstheme="minorHAnsi"/>
          <w:b/>
          <w:color w:val="244061" w:themeColor="accent1" w:themeShade="80"/>
          <w:sz w:val="36"/>
          <w:szCs w:val="44"/>
          <w:lang w:val="ro-RO"/>
        </w:rPr>
      </w:pPr>
      <w:r w:rsidRPr="004C6275">
        <w:rPr>
          <w:rFonts w:ascii="Calibri Light" w:hAnsi="Calibri Light" w:cstheme="minorHAnsi"/>
          <w:b/>
          <w:color w:val="244061" w:themeColor="accent1" w:themeShade="80"/>
          <w:sz w:val="36"/>
          <w:szCs w:val="44"/>
          <w:lang w:val="ro-RO"/>
        </w:rPr>
        <w:t>REPREZENTARE</w:t>
      </w:r>
      <w:r w:rsidR="00271D13" w:rsidRPr="004C6275">
        <w:rPr>
          <w:rFonts w:ascii="Calibri Light" w:hAnsi="Calibri Light" w:cstheme="minorHAnsi"/>
          <w:b/>
          <w:color w:val="244061" w:themeColor="accent1" w:themeShade="80"/>
          <w:sz w:val="36"/>
          <w:szCs w:val="44"/>
          <w:lang w:val="ro-RO"/>
        </w:rPr>
        <w:t>A</w:t>
      </w:r>
      <w:r w:rsidRPr="004C6275">
        <w:rPr>
          <w:rFonts w:ascii="Calibri Light" w:hAnsi="Calibri Light" w:cstheme="minorHAnsi"/>
          <w:b/>
          <w:color w:val="244061" w:themeColor="accent1" w:themeShade="80"/>
          <w:sz w:val="36"/>
          <w:szCs w:val="44"/>
          <w:lang w:val="ro-RO"/>
        </w:rPr>
        <w:t xml:space="preserve"> ȘI LUAREA DECIZIILOR</w:t>
      </w:r>
    </w:p>
    <w:p w14:paraId="07833F2B" w14:textId="39E148FC" w:rsidR="0028661D" w:rsidRDefault="0028661D" w:rsidP="00920DAB">
      <w:pPr>
        <w:spacing w:after="0" w:line="240" w:lineRule="auto"/>
        <w:jc w:val="both"/>
        <w:rPr>
          <w:rFonts w:cstheme="minorHAnsi"/>
          <w:i/>
          <w:lang w:val="ro-RO"/>
        </w:rPr>
      </w:pPr>
    </w:p>
    <w:p w14:paraId="12B9B3B5" w14:textId="77777777" w:rsidR="00D957D7" w:rsidRPr="004C6275" w:rsidRDefault="00D957D7" w:rsidP="00920DAB">
      <w:pPr>
        <w:spacing w:after="0" w:line="240" w:lineRule="auto"/>
        <w:jc w:val="both"/>
        <w:rPr>
          <w:rFonts w:cstheme="minorHAnsi"/>
          <w:i/>
          <w:lang w:val="ro-RO"/>
        </w:rPr>
      </w:pPr>
    </w:p>
    <w:p w14:paraId="511B18E1" w14:textId="4FD4DEC0" w:rsidR="004D09BB" w:rsidRPr="004C6275" w:rsidRDefault="004D09BB" w:rsidP="00920DAB">
      <w:pPr>
        <w:spacing w:after="0" w:line="240" w:lineRule="auto"/>
        <w:jc w:val="both"/>
        <w:rPr>
          <w:rFonts w:cstheme="minorHAnsi"/>
          <w:i/>
          <w:lang w:val="ro-RO"/>
        </w:rPr>
      </w:pPr>
      <w:r w:rsidRPr="004C6275">
        <w:rPr>
          <w:rFonts w:cstheme="minorHAnsi"/>
          <w:i/>
          <w:lang w:val="ro-RO"/>
        </w:rPr>
        <w:t xml:space="preserve">Deși au respectat cota de 40% pentru lista de candidați în circumscripția națională, nici un partid politic nu a asigurat o reprezentare echilibrată </w:t>
      </w:r>
      <w:r w:rsidR="002E145C" w:rsidRPr="004C6275">
        <w:rPr>
          <w:rFonts w:cstheme="minorHAnsi"/>
          <w:i/>
          <w:lang w:val="ro-RO"/>
        </w:rPr>
        <w:t xml:space="preserve">a ambelor genuri </w:t>
      </w:r>
      <w:r w:rsidRPr="004C6275">
        <w:rPr>
          <w:rFonts w:cstheme="minorHAnsi"/>
          <w:i/>
          <w:lang w:val="ro-RO"/>
        </w:rPr>
        <w:t>pe lista de candidați în circumscripțiile uninominale</w:t>
      </w:r>
      <w:r w:rsidR="00531A89" w:rsidRPr="004C6275">
        <w:rPr>
          <w:rFonts w:cstheme="minorHAnsi"/>
          <w:i/>
          <w:lang w:val="ro-RO"/>
        </w:rPr>
        <w:t>,</w:t>
      </w:r>
      <w:r w:rsidRPr="004C6275">
        <w:rPr>
          <w:rFonts w:cstheme="minorHAnsi"/>
          <w:i/>
          <w:lang w:val="ro-RO"/>
        </w:rPr>
        <w:t xml:space="preserve"> unde nivelul de reprezentare a femeilor este de două ori mai mic. Astfel, nivelul de reprezentare a femeilor în rândul tuturor candidaților este aproape similar cu situația din 2014, riscând să avem un număr mai </w:t>
      </w:r>
      <w:r w:rsidR="002E145C" w:rsidRPr="004C6275">
        <w:rPr>
          <w:rFonts w:cstheme="minorHAnsi"/>
          <w:i/>
          <w:lang w:val="ro-RO"/>
        </w:rPr>
        <w:t xml:space="preserve">mic </w:t>
      </w:r>
      <w:r w:rsidRPr="004C6275">
        <w:rPr>
          <w:rFonts w:cstheme="minorHAnsi"/>
          <w:i/>
          <w:lang w:val="ro-RO"/>
        </w:rPr>
        <w:t xml:space="preserve">de femei în Parlament comparativ cu ultimele alegeri. </w:t>
      </w:r>
    </w:p>
    <w:p w14:paraId="17965BCA" w14:textId="77777777" w:rsidR="0028661D" w:rsidRPr="004C6275" w:rsidRDefault="0028661D" w:rsidP="00920DAB">
      <w:pPr>
        <w:spacing w:after="0" w:line="240" w:lineRule="auto"/>
        <w:jc w:val="both"/>
        <w:rPr>
          <w:rFonts w:cstheme="minorHAnsi"/>
          <w:b/>
          <w:lang w:val="ro-RO"/>
        </w:rPr>
      </w:pPr>
    </w:p>
    <w:p w14:paraId="7E4C0502" w14:textId="77777777" w:rsidR="00CE4BD0" w:rsidRPr="004C6275" w:rsidRDefault="004D09BB" w:rsidP="00531A89">
      <w:pPr>
        <w:spacing w:line="240" w:lineRule="auto"/>
        <w:jc w:val="both"/>
        <w:rPr>
          <w:rFonts w:cstheme="minorHAnsi"/>
          <w:b/>
          <w:lang w:val="ro-RO"/>
        </w:rPr>
      </w:pPr>
      <w:r w:rsidRPr="004C6275">
        <w:rPr>
          <w:rFonts w:cstheme="minorHAnsi"/>
          <w:b/>
          <w:lang w:val="ro-RO"/>
        </w:rPr>
        <w:t xml:space="preserve">SOLICITĂM: </w:t>
      </w:r>
    </w:p>
    <w:p w14:paraId="45691982" w14:textId="347252B4" w:rsidR="00BD250B" w:rsidRPr="004C6275" w:rsidRDefault="00BD250B" w:rsidP="00920DAB">
      <w:pPr>
        <w:spacing w:after="0" w:line="240" w:lineRule="auto"/>
        <w:jc w:val="both"/>
        <w:rPr>
          <w:rFonts w:cstheme="minorHAnsi"/>
          <w:b/>
          <w:lang w:val="ro-RO"/>
        </w:rPr>
      </w:pPr>
      <w:r w:rsidRPr="004C6275">
        <w:rPr>
          <w:rFonts w:cstheme="minorHAnsi"/>
          <w:b/>
          <w:lang w:val="ro-RO"/>
        </w:rPr>
        <w:t xml:space="preserve">1. </w:t>
      </w:r>
      <w:r w:rsidR="004D09BB" w:rsidRPr="004C6275">
        <w:rPr>
          <w:rFonts w:cstheme="minorHAnsi"/>
          <w:b/>
          <w:lang w:val="ro-RO"/>
        </w:rPr>
        <w:t>Repartizarea politică a funcțiilor înalte în stat (</w:t>
      </w:r>
      <w:r w:rsidR="002E145C" w:rsidRPr="004C6275">
        <w:rPr>
          <w:rFonts w:cstheme="minorHAnsi"/>
          <w:b/>
          <w:lang w:val="ro-RO"/>
        </w:rPr>
        <w:t xml:space="preserve">Președinte </w:t>
      </w:r>
      <w:r w:rsidR="004D09BB" w:rsidRPr="004C6275">
        <w:rPr>
          <w:rFonts w:cstheme="minorHAnsi"/>
          <w:b/>
          <w:lang w:val="ro-RO"/>
        </w:rPr>
        <w:t xml:space="preserve">al Parlamentului și Prim-Ministru) într-un mod în care cel puțin la una dintre aceste </w:t>
      </w:r>
      <w:r w:rsidR="002E145C" w:rsidRPr="004C6275">
        <w:rPr>
          <w:rFonts w:cstheme="minorHAnsi"/>
          <w:b/>
          <w:lang w:val="ro-RO"/>
        </w:rPr>
        <w:t xml:space="preserve">poziții </w:t>
      </w:r>
      <w:r w:rsidR="004D09BB" w:rsidRPr="004C6275">
        <w:rPr>
          <w:rFonts w:cstheme="minorHAnsi"/>
          <w:b/>
          <w:lang w:val="ro-RO"/>
        </w:rPr>
        <w:t>să fie desemnată o femeie.</w:t>
      </w:r>
    </w:p>
    <w:p w14:paraId="6C046CC3" w14:textId="77777777" w:rsidR="00BD250B" w:rsidRPr="004C6275" w:rsidRDefault="00BD250B" w:rsidP="00920DAB">
      <w:pPr>
        <w:spacing w:after="0" w:line="240" w:lineRule="auto"/>
        <w:jc w:val="both"/>
        <w:rPr>
          <w:rFonts w:cstheme="minorHAnsi"/>
          <w:b/>
          <w:lang w:val="ro-RO"/>
        </w:rPr>
      </w:pPr>
    </w:p>
    <w:p w14:paraId="00CD5B32" w14:textId="21B90E4D" w:rsidR="00920DAB" w:rsidRPr="004C6275" w:rsidRDefault="00BD250B" w:rsidP="00920DAB">
      <w:pPr>
        <w:spacing w:after="0" w:line="240" w:lineRule="auto"/>
        <w:jc w:val="both"/>
        <w:rPr>
          <w:rFonts w:cstheme="minorHAnsi"/>
          <w:lang w:val="ro-RO"/>
        </w:rPr>
      </w:pPr>
      <w:r w:rsidRPr="004C6275">
        <w:rPr>
          <w:rFonts w:cstheme="minorHAnsi"/>
          <w:b/>
          <w:lang w:val="ro-RO"/>
        </w:rPr>
        <w:t>2</w:t>
      </w:r>
      <w:r w:rsidR="004D09BB" w:rsidRPr="004C6275">
        <w:rPr>
          <w:rFonts w:cstheme="minorHAnsi"/>
          <w:b/>
          <w:lang w:val="ro-RO"/>
        </w:rPr>
        <w:t xml:space="preserve">. Reprezentare echitabilă la conducerea </w:t>
      </w:r>
      <w:r w:rsidR="00920DAB" w:rsidRPr="004C6275">
        <w:rPr>
          <w:rFonts w:cstheme="minorHAnsi"/>
          <w:b/>
          <w:lang w:val="ro-RO"/>
        </w:rPr>
        <w:t>Parlament</w:t>
      </w:r>
      <w:r w:rsidR="004D09BB" w:rsidRPr="004C6275">
        <w:rPr>
          <w:rFonts w:cstheme="minorHAnsi"/>
          <w:b/>
          <w:lang w:val="ro-RO"/>
        </w:rPr>
        <w:t>ului</w:t>
      </w:r>
      <w:r w:rsidR="00920DAB" w:rsidRPr="004C6275">
        <w:rPr>
          <w:rFonts w:cstheme="minorHAnsi"/>
          <w:b/>
          <w:lang w:val="ro-RO"/>
        </w:rPr>
        <w:t xml:space="preserve">. </w:t>
      </w:r>
      <w:r w:rsidR="00305440" w:rsidRPr="004C6275">
        <w:rPr>
          <w:rFonts w:cstheme="minorHAnsi"/>
          <w:lang w:val="ro-RO"/>
        </w:rPr>
        <w:t>Cel puțin un vice-președinte</w:t>
      </w:r>
      <w:r w:rsidR="00920DAB" w:rsidRPr="004C6275">
        <w:rPr>
          <w:rFonts w:cstheme="minorHAnsi"/>
          <w:lang w:val="ro-RO"/>
        </w:rPr>
        <w:t xml:space="preserve"> al Parlamentului </w:t>
      </w:r>
      <w:r w:rsidR="002E145C" w:rsidRPr="004C6275">
        <w:rPr>
          <w:rFonts w:cstheme="minorHAnsi"/>
          <w:lang w:val="ro-RO"/>
        </w:rPr>
        <w:t>să fie</w:t>
      </w:r>
      <w:r w:rsidR="00920DAB" w:rsidRPr="004C6275">
        <w:rPr>
          <w:rFonts w:cstheme="minorHAnsi"/>
          <w:lang w:val="ro-RO"/>
        </w:rPr>
        <w:t xml:space="preserve"> de sex opus</w:t>
      </w:r>
      <w:r w:rsidR="002E145C" w:rsidRPr="004C6275">
        <w:rPr>
          <w:rFonts w:cstheme="minorHAnsi"/>
          <w:lang w:val="ro-RO"/>
        </w:rPr>
        <w:t>.</w:t>
      </w:r>
      <w:r w:rsidR="00920DAB" w:rsidRPr="004C6275">
        <w:rPr>
          <w:rFonts w:cstheme="minorHAnsi"/>
          <w:lang w:val="ro-RO"/>
        </w:rPr>
        <w:t xml:space="preserve"> </w:t>
      </w:r>
      <w:r w:rsidR="002E145C" w:rsidRPr="004C6275">
        <w:rPr>
          <w:rFonts w:cstheme="minorHAnsi"/>
          <w:lang w:val="ro-RO"/>
        </w:rPr>
        <w:t>A</w:t>
      </w:r>
      <w:r w:rsidR="00920DAB" w:rsidRPr="004C6275">
        <w:rPr>
          <w:rFonts w:cstheme="minorHAnsi"/>
          <w:lang w:val="ro-RO"/>
        </w:rPr>
        <w:t>ceeași regulă</w:t>
      </w:r>
      <w:r w:rsidR="002E145C" w:rsidRPr="004C6275">
        <w:rPr>
          <w:rFonts w:cstheme="minorHAnsi"/>
          <w:lang w:val="ro-RO"/>
        </w:rPr>
        <w:t xml:space="preserve"> să fie</w:t>
      </w:r>
      <w:r w:rsidR="00920DAB" w:rsidRPr="004C6275">
        <w:rPr>
          <w:rFonts w:cstheme="minorHAnsi"/>
          <w:lang w:val="ro-RO"/>
        </w:rPr>
        <w:t xml:space="preserve"> aplicată și în cazul alegerii conducerilor fracțiunilor din Parlament. Numărul de bărbați și femei președinți ai comisiilor parlamentare </w:t>
      </w:r>
      <w:r w:rsidR="002E145C" w:rsidRPr="004C6275">
        <w:rPr>
          <w:rFonts w:cstheme="minorHAnsi"/>
          <w:lang w:val="ro-RO"/>
        </w:rPr>
        <w:t>să fie</w:t>
      </w:r>
      <w:r w:rsidR="00920DAB" w:rsidRPr="004C6275">
        <w:rPr>
          <w:rFonts w:cstheme="minorHAnsi"/>
          <w:lang w:val="ro-RO"/>
        </w:rPr>
        <w:t xml:space="preserve"> egal.  </w:t>
      </w:r>
    </w:p>
    <w:p w14:paraId="6130456F" w14:textId="77777777" w:rsidR="004D09BB" w:rsidRPr="004C6275" w:rsidRDefault="004D09BB" w:rsidP="00920DAB">
      <w:pPr>
        <w:spacing w:after="0" w:line="240" w:lineRule="auto"/>
        <w:jc w:val="both"/>
        <w:rPr>
          <w:rFonts w:cstheme="minorHAnsi"/>
          <w:lang w:val="ro-RO"/>
        </w:rPr>
      </w:pPr>
    </w:p>
    <w:p w14:paraId="13E49CFA" w14:textId="1BFD3287" w:rsidR="0025064A" w:rsidRPr="004C6275" w:rsidRDefault="004D09BB" w:rsidP="00920DAB">
      <w:pPr>
        <w:spacing w:after="0" w:line="240" w:lineRule="auto"/>
        <w:jc w:val="both"/>
        <w:rPr>
          <w:rFonts w:cstheme="minorHAnsi"/>
          <w:lang w:val="ro-RO"/>
        </w:rPr>
      </w:pPr>
      <w:r w:rsidRPr="004C6275">
        <w:rPr>
          <w:rFonts w:cstheme="minorHAnsi"/>
          <w:b/>
          <w:lang w:val="ro-RO"/>
        </w:rPr>
        <w:t>3</w:t>
      </w:r>
      <w:r w:rsidR="00920DAB" w:rsidRPr="004C6275">
        <w:rPr>
          <w:rFonts w:cstheme="minorHAnsi"/>
          <w:b/>
          <w:lang w:val="ro-RO"/>
        </w:rPr>
        <w:t xml:space="preserve">. Reprezentare echilibrată în Guvern. </w:t>
      </w:r>
      <w:r w:rsidR="0025064A" w:rsidRPr="004C6275">
        <w:rPr>
          <w:rFonts w:cstheme="minorHAnsi"/>
          <w:lang w:val="ro-RO"/>
        </w:rPr>
        <w:t xml:space="preserve">Numărul de bărbați </w:t>
      </w:r>
      <w:r w:rsidR="00AD3AD6" w:rsidRPr="004C6275">
        <w:rPr>
          <w:rFonts w:cstheme="minorHAnsi"/>
          <w:lang w:val="ro-RO"/>
        </w:rPr>
        <w:t>(</w:t>
      </w:r>
      <w:r w:rsidR="0025064A" w:rsidRPr="004C6275">
        <w:rPr>
          <w:rFonts w:cstheme="minorHAnsi"/>
          <w:lang w:val="ro-RO"/>
        </w:rPr>
        <w:t>miniștri</w:t>
      </w:r>
      <w:r w:rsidR="00AD3AD6" w:rsidRPr="004C6275">
        <w:rPr>
          <w:rFonts w:cstheme="minorHAnsi"/>
          <w:lang w:val="ro-RO"/>
        </w:rPr>
        <w:t>)</w:t>
      </w:r>
      <w:r w:rsidR="0025064A" w:rsidRPr="004C6275">
        <w:rPr>
          <w:rFonts w:cstheme="minorHAnsi"/>
          <w:lang w:val="ro-RO"/>
        </w:rPr>
        <w:t xml:space="preserve"> </w:t>
      </w:r>
      <w:r w:rsidR="009816E6" w:rsidRPr="004C6275">
        <w:rPr>
          <w:rFonts w:cstheme="minorHAnsi"/>
          <w:lang w:val="ro-RO"/>
        </w:rPr>
        <w:t>să fie</w:t>
      </w:r>
      <w:r w:rsidR="0025064A" w:rsidRPr="004C6275">
        <w:rPr>
          <w:rFonts w:cstheme="minorHAnsi"/>
          <w:lang w:val="ro-RO"/>
        </w:rPr>
        <w:t xml:space="preserve"> egal cu cel al femeilor</w:t>
      </w:r>
      <w:r w:rsidR="00AD3AD6" w:rsidRPr="004C6275">
        <w:rPr>
          <w:rFonts w:cstheme="minorHAnsi"/>
          <w:lang w:val="ro-RO"/>
        </w:rPr>
        <w:t xml:space="preserve"> (ministre)</w:t>
      </w:r>
      <w:r w:rsidR="0025064A" w:rsidRPr="004C6275">
        <w:rPr>
          <w:rFonts w:cstheme="minorHAnsi"/>
          <w:lang w:val="ro-RO"/>
        </w:rPr>
        <w:t>.</w:t>
      </w:r>
      <w:r w:rsidRPr="004C6275">
        <w:rPr>
          <w:rFonts w:cstheme="minorHAnsi"/>
          <w:lang w:val="ro-RO"/>
        </w:rPr>
        <w:t xml:space="preserve"> Același criteriu </w:t>
      </w:r>
      <w:r w:rsidR="009816E6" w:rsidRPr="004C6275">
        <w:rPr>
          <w:rFonts w:cstheme="minorHAnsi"/>
          <w:lang w:val="ro-RO"/>
        </w:rPr>
        <w:t>să fie</w:t>
      </w:r>
      <w:r w:rsidRPr="004C6275">
        <w:rPr>
          <w:rFonts w:cstheme="minorHAnsi"/>
          <w:lang w:val="ro-RO"/>
        </w:rPr>
        <w:t xml:space="preserve"> apli</w:t>
      </w:r>
      <w:r w:rsidR="00DF71C0" w:rsidRPr="004C6275">
        <w:rPr>
          <w:rFonts w:cstheme="minorHAnsi"/>
          <w:lang w:val="ro-RO"/>
        </w:rPr>
        <w:t>cat și în cazul altor funcții p</w:t>
      </w:r>
      <w:r w:rsidRPr="004C6275">
        <w:rPr>
          <w:rFonts w:cstheme="minorHAnsi"/>
          <w:lang w:val="ro-RO"/>
        </w:rPr>
        <w:t xml:space="preserve">olitice </w:t>
      </w:r>
      <w:r w:rsidR="00DF71C0" w:rsidRPr="004C6275">
        <w:rPr>
          <w:rFonts w:cstheme="minorHAnsi"/>
          <w:lang w:val="ro-RO"/>
        </w:rPr>
        <w:t xml:space="preserve">subordonate Guvernului. </w:t>
      </w:r>
    </w:p>
    <w:p w14:paraId="4466E61B" w14:textId="77777777" w:rsidR="0025064A" w:rsidRPr="004C6275" w:rsidRDefault="0025064A" w:rsidP="00920DAB">
      <w:pPr>
        <w:spacing w:after="0" w:line="240" w:lineRule="auto"/>
        <w:jc w:val="both"/>
        <w:rPr>
          <w:rFonts w:cstheme="minorHAnsi"/>
          <w:lang w:val="ro-RO"/>
        </w:rPr>
      </w:pPr>
    </w:p>
    <w:p w14:paraId="3A9677FE" w14:textId="53666308" w:rsidR="00920DAB" w:rsidRPr="004C6275" w:rsidRDefault="00DF71C0" w:rsidP="00920DAB">
      <w:pPr>
        <w:spacing w:after="0" w:line="240" w:lineRule="auto"/>
        <w:jc w:val="both"/>
        <w:rPr>
          <w:rFonts w:cstheme="minorHAnsi"/>
          <w:lang w:val="ro-RO"/>
        </w:rPr>
      </w:pPr>
      <w:r w:rsidRPr="004C6275">
        <w:rPr>
          <w:rFonts w:cstheme="minorHAnsi"/>
          <w:b/>
          <w:lang w:val="ro-RO"/>
        </w:rPr>
        <w:t>4</w:t>
      </w:r>
      <w:r w:rsidR="0025064A" w:rsidRPr="004C6275">
        <w:rPr>
          <w:rFonts w:cstheme="minorHAnsi"/>
          <w:b/>
          <w:lang w:val="ro-RO"/>
        </w:rPr>
        <w:t xml:space="preserve">. Aplicarea cotei pentru toți candidații desemnați de partidele politice în alegeri. </w:t>
      </w:r>
      <w:r w:rsidRPr="004C6275">
        <w:rPr>
          <w:rFonts w:cstheme="minorHAnsi"/>
          <w:lang w:val="ro-RO"/>
        </w:rPr>
        <w:t>Codul Electoral urmează a fi modificat</w:t>
      </w:r>
      <w:r w:rsidR="00D052C7" w:rsidRPr="004C6275">
        <w:rPr>
          <w:rFonts w:cstheme="minorHAnsi"/>
          <w:lang w:val="ro-RO"/>
        </w:rPr>
        <w:t>,</w:t>
      </w:r>
      <w:r w:rsidRPr="004C6275">
        <w:rPr>
          <w:rFonts w:cstheme="minorHAnsi"/>
          <w:lang w:val="ro-RO"/>
        </w:rPr>
        <w:t xml:space="preserve"> pentru a introduce</w:t>
      </w:r>
      <w:r w:rsidR="0025064A" w:rsidRPr="004C6275">
        <w:rPr>
          <w:rFonts w:cstheme="minorHAnsi"/>
          <w:lang w:val="ro-RO"/>
        </w:rPr>
        <w:t xml:space="preserve"> obligația partidelor politice de </w:t>
      </w:r>
      <w:r w:rsidR="00D052C7" w:rsidRPr="004C6275">
        <w:rPr>
          <w:rFonts w:cstheme="minorHAnsi"/>
          <w:lang w:val="ro-RO"/>
        </w:rPr>
        <w:t xml:space="preserve">a </w:t>
      </w:r>
      <w:r w:rsidR="0025064A" w:rsidRPr="004C6275">
        <w:rPr>
          <w:rFonts w:cstheme="minorHAnsi"/>
          <w:lang w:val="ro-RO"/>
        </w:rPr>
        <w:t>asigura o cotă minimă de 40% atât pentru circumscripția națională</w:t>
      </w:r>
      <w:r w:rsidR="00986964" w:rsidRPr="004C6275">
        <w:rPr>
          <w:rFonts w:cstheme="minorHAnsi"/>
          <w:lang w:val="ro-RO"/>
        </w:rPr>
        <w:t>,</w:t>
      </w:r>
      <w:r w:rsidR="0025064A" w:rsidRPr="004C6275">
        <w:rPr>
          <w:rFonts w:cstheme="minorHAnsi"/>
          <w:lang w:val="ro-RO"/>
        </w:rPr>
        <w:t xml:space="preserve"> cât și pentru circumscripțiile uninominale. </w:t>
      </w:r>
    </w:p>
    <w:p w14:paraId="3986317A" w14:textId="77777777" w:rsidR="0025064A" w:rsidRPr="004C6275" w:rsidRDefault="0025064A" w:rsidP="00920DAB">
      <w:pPr>
        <w:spacing w:after="0" w:line="240" w:lineRule="auto"/>
        <w:jc w:val="both"/>
        <w:rPr>
          <w:rFonts w:cstheme="minorHAnsi"/>
          <w:lang w:val="ro-RO"/>
        </w:rPr>
      </w:pPr>
    </w:p>
    <w:p w14:paraId="6C24E5DE" w14:textId="1FC351AD" w:rsidR="0025064A" w:rsidRPr="004C6275" w:rsidRDefault="009816E6" w:rsidP="00920DAB">
      <w:pPr>
        <w:spacing w:after="0" w:line="240" w:lineRule="auto"/>
        <w:jc w:val="both"/>
        <w:rPr>
          <w:lang w:val="ro-RO"/>
        </w:rPr>
      </w:pPr>
      <w:r w:rsidRPr="004C6275">
        <w:rPr>
          <w:rFonts w:cstheme="minorHAnsi"/>
          <w:b/>
          <w:lang w:val="ro-RO"/>
        </w:rPr>
        <w:t>5</w:t>
      </w:r>
      <w:r w:rsidR="0025064A" w:rsidRPr="004C6275">
        <w:rPr>
          <w:rFonts w:cstheme="minorHAnsi"/>
          <w:b/>
          <w:lang w:val="ro-RO"/>
        </w:rPr>
        <w:t>. Ap</w:t>
      </w:r>
      <w:r w:rsidR="00DF71C0" w:rsidRPr="004C6275">
        <w:rPr>
          <w:rFonts w:cstheme="minorHAnsi"/>
          <w:b/>
          <w:lang w:val="ro-RO"/>
        </w:rPr>
        <w:t xml:space="preserve">licarea măsurilor de plasament a bărbaților și femeilor </w:t>
      </w:r>
      <w:r w:rsidRPr="004C6275">
        <w:rPr>
          <w:rFonts w:cstheme="minorHAnsi"/>
          <w:b/>
          <w:lang w:val="ro-RO"/>
        </w:rPr>
        <w:t>pe</w:t>
      </w:r>
      <w:r w:rsidR="00F10A03" w:rsidRPr="004C6275">
        <w:rPr>
          <w:rFonts w:cstheme="minorHAnsi"/>
          <w:b/>
          <w:lang w:val="ro-RO"/>
        </w:rPr>
        <w:t xml:space="preserve"> listel</w:t>
      </w:r>
      <w:r w:rsidRPr="004C6275">
        <w:rPr>
          <w:rFonts w:cstheme="minorHAnsi"/>
          <w:b/>
          <w:lang w:val="ro-RO"/>
        </w:rPr>
        <w:t>e</w:t>
      </w:r>
      <w:r w:rsidR="00F10A03" w:rsidRPr="004C6275">
        <w:rPr>
          <w:rFonts w:cstheme="minorHAnsi"/>
          <w:b/>
          <w:lang w:val="ro-RO"/>
        </w:rPr>
        <w:t xml:space="preserve"> de candidați, </w:t>
      </w:r>
      <w:r w:rsidR="00F10A03" w:rsidRPr="004C6275">
        <w:rPr>
          <w:lang w:val="ro-RO"/>
        </w:rPr>
        <w:t xml:space="preserve">astfel încât cota procentuală să se aplice pentru fiecare </w:t>
      </w:r>
      <w:proofErr w:type="spellStart"/>
      <w:r w:rsidR="00F10A03" w:rsidRPr="004C6275">
        <w:rPr>
          <w:lang w:val="ro-RO"/>
        </w:rPr>
        <w:t>decilă</w:t>
      </w:r>
      <w:proofErr w:type="spellEnd"/>
      <w:r w:rsidR="00F10A03" w:rsidRPr="004C6275">
        <w:rPr>
          <w:lang w:val="ro-RO"/>
        </w:rPr>
        <w:t xml:space="preserve"> din lista </w:t>
      </w:r>
      <w:r w:rsidR="008709E3" w:rsidRPr="004C6275">
        <w:rPr>
          <w:lang w:val="ro-RO"/>
        </w:rPr>
        <w:t>candidaților</w:t>
      </w:r>
      <w:r w:rsidR="00F10A03" w:rsidRPr="004C6275">
        <w:rPr>
          <w:lang w:val="ro-RO"/>
        </w:rPr>
        <w:t>.</w:t>
      </w:r>
    </w:p>
    <w:p w14:paraId="5E93599A" w14:textId="77777777" w:rsidR="00F10A03" w:rsidRPr="004C6275" w:rsidRDefault="00F10A03" w:rsidP="00920DAB">
      <w:pPr>
        <w:spacing w:after="0" w:line="240" w:lineRule="auto"/>
        <w:jc w:val="both"/>
        <w:rPr>
          <w:rFonts w:cstheme="minorHAnsi"/>
          <w:lang w:val="ro-RO"/>
        </w:rPr>
      </w:pPr>
    </w:p>
    <w:p w14:paraId="5C2979AF" w14:textId="4BF4D33A" w:rsidR="00521AE6" w:rsidRPr="004C6275" w:rsidRDefault="009816E6" w:rsidP="00920DAB">
      <w:pPr>
        <w:spacing w:after="0" w:line="240" w:lineRule="auto"/>
        <w:jc w:val="both"/>
        <w:rPr>
          <w:rFonts w:cstheme="minorHAnsi"/>
          <w:lang w:val="ro-RO"/>
        </w:rPr>
      </w:pPr>
      <w:r w:rsidRPr="004C6275">
        <w:rPr>
          <w:rFonts w:cstheme="minorHAnsi"/>
          <w:b/>
          <w:lang w:val="ro-RO"/>
        </w:rPr>
        <w:t>6</w:t>
      </w:r>
      <w:r w:rsidR="0025064A" w:rsidRPr="004C6275">
        <w:rPr>
          <w:rFonts w:cstheme="minorHAnsi"/>
          <w:b/>
          <w:lang w:val="ro-RO"/>
        </w:rPr>
        <w:t xml:space="preserve">. Reforma </w:t>
      </w:r>
      <w:r w:rsidR="002719D8" w:rsidRPr="004C6275">
        <w:rPr>
          <w:rFonts w:cstheme="minorHAnsi"/>
          <w:b/>
          <w:lang w:val="ro-RO"/>
        </w:rPr>
        <w:t xml:space="preserve">radicală a </w:t>
      </w:r>
      <w:r w:rsidR="0025064A" w:rsidRPr="004C6275">
        <w:rPr>
          <w:rFonts w:cstheme="minorHAnsi"/>
          <w:b/>
          <w:lang w:val="ro-RO"/>
        </w:rPr>
        <w:t xml:space="preserve">finanțării partidelor politice și a campaniilor electorale. </w:t>
      </w:r>
      <w:r w:rsidR="0028661D" w:rsidRPr="004C6275">
        <w:rPr>
          <w:rFonts w:cstheme="minorHAnsi"/>
          <w:lang w:val="ro-RO"/>
        </w:rPr>
        <w:t xml:space="preserve">Legislația aferentă finanțării campaniilor electorale și </w:t>
      </w:r>
      <w:r w:rsidRPr="004C6275">
        <w:rPr>
          <w:rFonts w:cstheme="minorHAnsi"/>
          <w:lang w:val="ro-RO"/>
        </w:rPr>
        <w:t xml:space="preserve">a </w:t>
      </w:r>
      <w:r w:rsidR="0028661D" w:rsidRPr="004C6275">
        <w:rPr>
          <w:rFonts w:cstheme="minorHAnsi"/>
          <w:lang w:val="ro-RO"/>
        </w:rPr>
        <w:t xml:space="preserve">partidelor politice </w:t>
      </w:r>
      <w:r w:rsidRPr="004C6275">
        <w:rPr>
          <w:rFonts w:cstheme="minorHAnsi"/>
          <w:lang w:val="ro-RO"/>
        </w:rPr>
        <w:t>să fie</w:t>
      </w:r>
      <w:r w:rsidR="0028661D" w:rsidRPr="004C6275">
        <w:rPr>
          <w:rFonts w:cstheme="minorHAnsi"/>
          <w:lang w:val="ro-RO"/>
        </w:rPr>
        <w:t xml:space="preserve"> modificată</w:t>
      </w:r>
      <w:r w:rsidR="00D052C7" w:rsidRPr="004C6275">
        <w:rPr>
          <w:rFonts w:cstheme="minorHAnsi"/>
          <w:lang w:val="ro-RO"/>
        </w:rPr>
        <w:t>,</w:t>
      </w:r>
      <w:r w:rsidR="0028661D" w:rsidRPr="004C6275">
        <w:rPr>
          <w:rFonts w:cstheme="minorHAnsi"/>
          <w:lang w:val="ro-RO"/>
        </w:rPr>
        <w:t xml:space="preserve"> pentru a reduce semnificativ (de 50 de ori) plafoanele de donații pentru partide și concurenți electorali.</w:t>
      </w:r>
    </w:p>
    <w:p w14:paraId="55E14EC6" w14:textId="39A394D8" w:rsidR="0025064A" w:rsidRPr="004C6275" w:rsidRDefault="0028661D" w:rsidP="00920DAB">
      <w:pPr>
        <w:spacing w:after="0" w:line="240" w:lineRule="auto"/>
        <w:jc w:val="both"/>
        <w:rPr>
          <w:rFonts w:cstheme="minorHAnsi"/>
          <w:lang w:val="ro-RO"/>
        </w:rPr>
      </w:pPr>
      <w:r w:rsidRPr="004C6275">
        <w:rPr>
          <w:rFonts w:cstheme="minorHAnsi"/>
          <w:lang w:val="ro-RO"/>
        </w:rPr>
        <w:t xml:space="preserve"> </w:t>
      </w:r>
    </w:p>
    <w:p w14:paraId="3F97D600" w14:textId="77777777" w:rsidR="0025064A" w:rsidRPr="004C6275" w:rsidRDefault="0025064A" w:rsidP="00920DAB">
      <w:pPr>
        <w:spacing w:after="0" w:line="240" w:lineRule="auto"/>
        <w:jc w:val="both"/>
        <w:rPr>
          <w:rFonts w:cstheme="minorHAnsi"/>
          <w:b/>
          <w:lang w:val="ro-RO"/>
        </w:rPr>
      </w:pPr>
    </w:p>
    <w:p w14:paraId="3EF99032" w14:textId="77777777" w:rsidR="0025064A" w:rsidRPr="004C6275" w:rsidRDefault="0025064A" w:rsidP="00920DAB">
      <w:pPr>
        <w:spacing w:after="0" w:line="240" w:lineRule="auto"/>
        <w:jc w:val="both"/>
        <w:rPr>
          <w:rFonts w:cstheme="minorHAnsi"/>
          <w:b/>
          <w:lang w:val="ro-RO"/>
        </w:rPr>
      </w:pPr>
    </w:p>
    <w:p w14:paraId="071DB1F9" w14:textId="77777777" w:rsidR="0025064A" w:rsidRPr="004C6275" w:rsidRDefault="0025064A" w:rsidP="00920DAB">
      <w:pPr>
        <w:spacing w:after="0" w:line="240" w:lineRule="auto"/>
        <w:jc w:val="both"/>
        <w:rPr>
          <w:rFonts w:cstheme="minorHAnsi"/>
          <w:b/>
          <w:lang w:val="ro-RO"/>
        </w:rPr>
      </w:pPr>
    </w:p>
    <w:p w14:paraId="19414ED6" w14:textId="77777777" w:rsidR="0025064A" w:rsidRPr="004C6275" w:rsidRDefault="0025064A" w:rsidP="00920DAB">
      <w:pPr>
        <w:spacing w:after="0" w:line="240" w:lineRule="auto"/>
        <w:jc w:val="both"/>
        <w:rPr>
          <w:rFonts w:cstheme="minorHAnsi"/>
          <w:b/>
          <w:lang w:val="ro-RO"/>
        </w:rPr>
      </w:pPr>
    </w:p>
    <w:p w14:paraId="797A361D" w14:textId="77777777" w:rsidR="0025064A" w:rsidRPr="004C6275" w:rsidRDefault="0025064A" w:rsidP="00920DAB">
      <w:pPr>
        <w:spacing w:after="0" w:line="240" w:lineRule="auto"/>
        <w:jc w:val="both"/>
        <w:rPr>
          <w:rFonts w:cstheme="minorHAnsi"/>
          <w:b/>
          <w:lang w:val="ro-RO"/>
        </w:rPr>
      </w:pPr>
    </w:p>
    <w:p w14:paraId="607AF696" w14:textId="77777777" w:rsidR="0025064A" w:rsidRPr="004C6275" w:rsidRDefault="0025064A" w:rsidP="00920DAB">
      <w:pPr>
        <w:spacing w:after="0" w:line="240" w:lineRule="auto"/>
        <w:jc w:val="both"/>
        <w:rPr>
          <w:rFonts w:cstheme="minorHAnsi"/>
          <w:b/>
          <w:lang w:val="ro-RO"/>
        </w:rPr>
      </w:pPr>
    </w:p>
    <w:p w14:paraId="6852C2AA" w14:textId="77777777" w:rsidR="0025064A" w:rsidRPr="004C6275" w:rsidRDefault="0025064A" w:rsidP="00920DAB">
      <w:pPr>
        <w:spacing w:after="0" w:line="240" w:lineRule="auto"/>
        <w:jc w:val="both"/>
        <w:rPr>
          <w:rFonts w:cstheme="minorHAnsi"/>
          <w:b/>
          <w:lang w:val="ro-RO"/>
        </w:rPr>
      </w:pPr>
    </w:p>
    <w:p w14:paraId="4A02DC5B" w14:textId="4C22B911" w:rsidR="0025064A" w:rsidRPr="004C6275" w:rsidRDefault="0025064A" w:rsidP="00920DAB">
      <w:pPr>
        <w:spacing w:after="0" w:line="240" w:lineRule="auto"/>
        <w:jc w:val="both"/>
        <w:rPr>
          <w:rFonts w:cstheme="minorHAnsi"/>
          <w:b/>
          <w:lang w:val="ro-RO"/>
        </w:rPr>
      </w:pPr>
    </w:p>
    <w:p w14:paraId="6ACC7EC6" w14:textId="33E5151B" w:rsidR="0025064A" w:rsidRPr="004C6275" w:rsidRDefault="0025064A" w:rsidP="00920DAB">
      <w:pPr>
        <w:spacing w:after="0" w:line="240" w:lineRule="auto"/>
        <w:jc w:val="both"/>
        <w:rPr>
          <w:rFonts w:cstheme="minorHAnsi"/>
          <w:b/>
          <w:lang w:val="ro-RO"/>
        </w:rPr>
      </w:pPr>
    </w:p>
    <w:p w14:paraId="42286B77" w14:textId="620934F8" w:rsidR="0025064A" w:rsidRPr="004C6275" w:rsidRDefault="0025064A" w:rsidP="00920DAB">
      <w:pPr>
        <w:spacing w:after="0" w:line="240" w:lineRule="auto"/>
        <w:jc w:val="both"/>
        <w:rPr>
          <w:rFonts w:cstheme="minorHAnsi"/>
          <w:b/>
          <w:lang w:val="ro-RO"/>
        </w:rPr>
      </w:pPr>
    </w:p>
    <w:p w14:paraId="23AF7FAF" w14:textId="25A88157" w:rsidR="005C2025" w:rsidRPr="004C6275" w:rsidRDefault="005C2025" w:rsidP="00920DAB">
      <w:pPr>
        <w:spacing w:after="0" w:line="240" w:lineRule="auto"/>
        <w:jc w:val="both"/>
        <w:rPr>
          <w:rFonts w:cstheme="minorHAnsi"/>
          <w:b/>
          <w:lang w:val="ro-RO"/>
        </w:rPr>
      </w:pPr>
    </w:p>
    <w:p w14:paraId="1EC2330B" w14:textId="73759BBA" w:rsidR="00E41466" w:rsidRPr="004C6275" w:rsidRDefault="00E41466" w:rsidP="00920DAB">
      <w:pPr>
        <w:spacing w:after="0" w:line="240" w:lineRule="auto"/>
        <w:jc w:val="both"/>
        <w:rPr>
          <w:rFonts w:cstheme="minorHAnsi"/>
          <w:b/>
          <w:lang w:val="ro-RO"/>
        </w:rPr>
      </w:pPr>
    </w:p>
    <w:p w14:paraId="1B2CF800" w14:textId="58DD4014" w:rsidR="0025064A" w:rsidRPr="004C6275" w:rsidRDefault="0025064A" w:rsidP="00920DAB">
      <w:pPr>
        <w:spacing w:after="0" w:line="240" w:lineRule="auto"/>
        <w:jc w:val="both"/>
        <w:rPr>
          <w:rFonts w:cstheme="minorHAnsi"/>
          <w:b/>
          <w:lang w:val="ro-RO"/>
        </w:rPr>
      </w:pPr>
    </w:p>
    <w:p w14:paraId="2732EB06" w14:textId="25557094" w:rsidR="0025064A" w:rsidRPr="004C6275" w:rsidRDefault="0025064A" w:rsidP="00920DAB">
      <w:pPr>
        <w:spacing w:after="0" w:line="240" w:lineRule="auto"/>
        <w:jc w:val="both"/>
        <w:rPr>
          <w:rFonts w:cstheme="minorHAnsi"/>
          <w:b/>
          <w:lang w:val="ro-RO"/>
        </w:rPr>
      </w:pPr>
    </w:p>
    <w:p w14:paraId="676F028B" w14:textId="5B8C1EBD" w:rsidR="0025064A" w:rsidRPr="004C6275" w:rsidRDefault="0025064A" w:rsidP="00920DAB">
      <w:pPr>
        <w:spacing w:after="0" w:line="240" w:lineRule="auto"/>
        <w:jc w:val="both"/>
        <w:rPr>
          <w:rFonts w:cstheme="minorHAnsi"/>
          <w:b/>
          <w:lang w:val="ro-RO"/>
        </w:rPr>
      </w:pPr>
    </w:p>
    <w:p w14:paraId="28C185A2" w14:textId="134FC05B" w:rsidR="0025064A" w:rsidRPr="004C6275" w:rsidRDefault="0025064A" w:rsidP="00920DAB">
      <w:pPr>
        <w:spacing w:after="0" w:line="240" w:lineRule="auto"/>
        <w:jc w:val="both"/>
        <w:rPr>
          <w:rFonts w:cstheme="minorHAnsi"/>
          <w:b/>
          <w:lang w:val="ro-RO"/>
        </w:rPr>
      </w:pPr>
    </w:p>
    <w:p w14:paraId="5B97ED0F" w14:textId="1A71CB6D" w:rsidR="005B382E" w:rsidRDefault="005B382E" w:rsidP="00920DAB">
      <w:pPr>
        <w:spacing w:after="0" w:line="240" w:lineRule="auto"/>
        <w:jc w:val="both"/>
        <w:rPr>
          <w:rFonts w:ascii="Calibri Light" w:hAnsi="Calibri Light" w:cs="Arial"/>
          <w:b/>
          <w:color w:val="244061" w:themeColor="accent1" w:themeShade="80"/>
          <w:sz w:val="36"/>
          <w:szCs w:val="44"/>
          <w:lang w:val="ro-RO"/>
        </w:rPr>
      </w:pPr>
    </w:p>
    <w:p w14:paraId="21B7A229" w14:textId="77777777" w:rsidR="005B382E" w:rsidRDefault="005B382E" w:rsidP="00920DAB">
      <w:pPr>
        <w:spacing w:after="0" w:line="240" w:lineRule="auto"/>
        <w:jc w:val="both"/>
        <w:rPr>
          <w:rFonts w:ascii="Calibri Light" w:hAnsi="Calibri Light" w:cs="Arial"/>
          <w:b/>
          <w:color w:val="244061" w:themeColor="accent1" w:themeShade="80"/>
          <w:sz w:val="36"/>
          <w:szCs w:val="44"/>
          <w:lang w:val="ro-RO"/>
        </w:rPr>
      </w:pPr>
    </w:p>
    <w:p w14:paraId="3414792E" w14:textId="77777777" w:rsidR="005B382E" w:rsidRDefault="005B382E" w:rsidP="00920DAB">
      <w:pPr>
        <w:spacing w:after="0" w:line="240" w:lineRule="auto"/>
        <w:jc w:val="both"/>
        <w:rPr>
          <w:rFonts w:ascii="Calibri Light" w:hAnsi="Calibri Light" w:cs="Arial"/>
          <w:b/>
          <w:color w:val="244061" w:themeColor="accent1" w:themeShade="80"/>
          <w:sz w:val="36"/>
          <w:szCs w:val="44"/>
          <w:lang w:val="ro-RO"/>
        </w:rPr>
      </w:pPr>
    </w:p>
    <w:p w14:paraId="5F17A18D" w14:textId="77777777" w:rsidR="00F13491" w:rsidRDefault="00F13491" w:rsidP="00920DAB">
      <w:pPr>
        <w:spacing w:after="0" w:line="240" w:lineRule="auto"/>
        <w:jc w:val="both"/>
        <w:rPr>
          <w:rFonts w:ascii="Calibri Light" w:hAnsi="Calibri Light" w:cstheme="minorHAnsi"/>
          <w:b/>
          <w:color w:val="244061" w:themeColor="accent1" w:themeShade="80"/>
          <w:sz w:val="36"/>
          <w:szCs w:val="44"/>
          <w:lang w:val="ro-RO"/>
        </w:rPr>
      </w:pPr>
    </w:p>
    <w:p w14:paraId="04DB950A" w14:textId="76C42DA2" w:rsidR="00A04B68" w:rsidRPr="004C6275" w:rsidRDefault="00A04B68" w:rsidP="00920DAB">
      <w:pPr>
        <w:spacing w:after="0" w:line="240" w:lineRule="auto"/>
        <w:jc w:val="both"/>
        <w:rPr>
          <w:rFonts w:ascii="Calibri Light" w:hAnsi="Calibri Light" w:cstheme="minorHAnsi"/>
          <w:b/>
          <w:color w:val="244061" w:themeColor="accent1" w:themeShade="80"/>
          <w:sz w:val="36"/>
          <w:szCs w:val="44"/>
          <w:lang w:val="ro-RO"/>
        </w:rPr>
      </w:pPr>
      <w:r w:rsidRPr="00D957D7">
        <w:rPr>
          <w:rFonts w:ascii="Calibri Light" w:hAnsi="Calibri Light" w:cstheme="minorHAnsi"/>
          <w:b/>
          <w:color w:val="244061" w:themeColor="accent1" w:themeShade="80"/>
          <w:sz w:val="36"/>
          <w:szCs w:val="44"/>
          <w:lang w:val="ro-RO"/>
        </w:rPr>
        <w:t>PREVENIREA</w:t>
      </w:r>
      <w:r w:rsidRPr="004C6275">
        <w:rPr>
          <w:rFonts w:ascii="Calibri Light" w:hAnsi="Calibri Light" w:cstheme="minorHAnsi"/>
          <w:b/>
          <w:color w:val="244061" w:themeColor="accent1" w:themeShade="80"/>
          <w:sz w:val="36"/>
          <w:szCs w:val="44"/>
          <w:lang w:val="ro-RO"/>
        </w:rPr>
        <w:t xml:space="preserve"> ȘI COMBATEREA VIOLENȚEI </w:t>
      </w:r>
    </w:p>
    <w:p w14:paraId="76F16364" w14:textId="044EE75E" w:rsidR="00A04B68" w:rsidRDefault="00A04B68" w:rsidP="00920DAB">
      <w:pPr>
        <w:spacing w:after="0" w:line="240" w:lineRule="auto"/>
        <w:jc w:val="both"/>
        <w:rPr>
          <w:rFonts w:cstheme="minorHAnsi"/>
          <w:color w:val="244061" w:themeColor="accent1" w:themeShade="80"/>
          <w:lang w:val="ro-RO"/>
        </w:rPr>
      </w:pPr>
    </w:p>
    <w:p w14:paraId="620EB2D3" w14:textId="77777777" w:rsidR="00D957D7" w:rsidRPr="004C6275" w:rsidRDefault="00D957D7" w:rsidP="00920DAB">
      <w:pPr>
        <w:spacing w:after="0" w:line="240" w:lineRule="auto"/>
        <w:jc w:val="both"/>
        <w:rPr>
          <w:rFonts w:cstheme="minorHAnsi"/>
          <w:color w:val="244061" w:themeColor="accent1" w:themeShade="80"/>
          <w:lang w:val="ro-RO"/>
        </w:rPr>
      </w:pPr>
    </w:p>
    <w:p w14:paraId="257EED77" w14:textId="089CD335" w:rsidR="00E41466" w:rsidRPr="004C6275" w:rsidRDefault="0019457A" w:rsidP="00BD0294">
      <w:pPr>
        <w:spacing w:after="0" w:line="240" w:lineRule="auto"/>
        <w:jc w:val="both"/>
        <w:rPr>
          <w:rFonts w:cs="Times New Roman"/>
          <w:i/>
          <w:lang w:val="ro-RO"/>
        </w:rPr>
      </w:pPr>
      <w:r w:rsidRPr="004C6275">
        <w:rPr>
          <w:rFonts w:cs="Times New Roman"/>
          <w:i/>
          <w:lang w:val="ro-RO"/>
        </w:rPr>
        <w:t>Violența față de femei și violența în familie este o problema gravă și un fenomen răspândit în Moldova</w:t>
      </w:r>
      <w:r w:rsidR="005F1826" w:rsidRPr="004C6275">
        <w:rPr>
          <w:rFonts w:cs="Times New Roman"/>
          <w:i/>
          <w:lang w:val="ro-RO"/>
        </w:rPr>
        <w:t>,</w:t>
      </w:r>
      <w:r w:rsidRPr="004C6275">
        <w:rPr>
          <w:rFonts w:cs="Times New Roman"/>
          <w:i/>
          <w:lang w:val="ro-RO"/>
        </w:rPr>
        <w:t xml:space="preserve"> care are la origine stereotipuri privind rolul femeii și al bărbatului în familie și societate. Chiar dacă în ultima perioadă au fost înregistrate anumite progrese în domeniul combaterii violenței față de femei și în familie, incidența, amploarea și gravitatea acestei problem</w:t>
      </w:r>
      <w:r w:rsidR="00305440" w:rsidRPr="004C6275">
        <w:rPr>
          <w:rFonts w:cs="Times New Roman"/>
          <w:i/>
          <w:lang w:val="ro-RO"/>
        </w:rPr>
        <w:t>e</w:t>
      </w:r>
      <w:r w:rsidRPr="004C6275">
        <w:rPr>
          <w:rFonts w:cs="Times New Roman"/>
          <w:i/>
          <w:lang w:val="ro-RO"/>
        </w:rPr>
        <w:t xml:space="preserve"> rămân neschimbate. Conform datelor din 2016</w:t>
      </w:r>
      <w:r w:rsidRPr="004C6275">
        <w:rPr>
          <w:rStyle w:val="FootnoteReference"/>
          <w:rFonts w:cs="Times New Roman"/>
          <w:i/>
          <w:lang w:val="ro-RO"/>
        </w:rPr>
        <w:footnoteReference w:id="4"/>
      </w:r>
      <w:r w:rsidR="005F1826" w:rsidRPr="004C6275">
        <w:rPr>
          <w:rFonts w:cs="Times New Roman"/>
          <w:i/>
          <w:lang w:val="ro-RO"/>
        </w:rPr>
        <w:t>,</w:t>
      </w:r>
      <w:r w:rsidRPr="004C6275">
        <w:rPr>
          <w:rFonts w:cs="Times New Roman"/>
          <w:i/>
          <w:lang w:val="ro-RO"/>
        </w:rPr>
        <w:t xml:space="preserve"> fiecare a treia femeie din mediul rural și fiecare a patra femeie din mediul urban a suferit de cel puțin o formă de violență din partea soțului/partenerului intim pe parcursul vieții</w:t>
      </w:r>
      <w:r w:rsidR="00D052C7" w:rsidRPr="004C6275">
        <w:rPr>
          <w:rFonts w:cs="Times New Roman"/>
          <w:i/>
          <w:lang w:val="ro-RO"/>
        </w:rPr>
        <w:t>. Circa</w:t>
      </w:r>
      <w:r w:rsidRPr="004C6275">
        <w:rPr>
          <w:rFonts w:cs="Times New Roman"/>
          <w:i/>
          <w:lang w:val="ro-RO"/>
        </w:rPr>
        <w:t xml:space="preserve"> 40% </w:t>
      </w:r>
      <w:r w:rsidR="00BD0294" w:rsidRPr="004C6275">
        <w:rPr>
          <w:rFonts w:cs="Times New Roman"/>
          <w:i/>
          <w:lang w:val="ro-RO"/>
        </w:rPr>
        <w:t>bărbați</w:t>
      </w:r>
      <w:r w:rsidRPr="004C6275">
        <w:rPr>
          <w:rFonts w:cs="Times New Roman"/>
          <w:i/>
          <w:lang w:val="ro-RO"/>
        </w:rPr>
        <w:t xml:space="preserve"> consideră că există momente </w:t>
      </w:r>
      <w:r w:rsidR="00BD0294" w:rsidRPr="004C6275">
        <w:rPr>
          <w:rFonts w:cs="Times New Roman"/>
          <w:i/>
          <w:lang w:val="ro-RO"/>
        </w:rPr>
        <w:t>când</w:t>
      </w:r>
      <w:r w:rsidRPr="004C6275">
        <w:rPr>
          <w:rFonts w:cs="Times New Roman"/>
          <w:i/>
          <w:lang w:val="ro-RO"/>
        </w:rPr>
        <w:t xml:space="preserve"> o femeie merită să fie bătută</w:t>
      </w:r>
      <w:r w:rsidRPr="004C6275">
        <w:rPr>
          <w:rStyle w:val="FootnoteReference"/>
          <w:rFonts w:cs="Times New Roman"/>
          <w:i/>
          <w:lang w:val="ro-RO"/>
        </w:rPr>
        <w:footnoteReference w:id="5"/>
      </w:r>
      <w:r w:rsidRPr="004C6275">
        <w:rPr>
          <w:rFonts w:cs="Times New Roman"/>
          <w:i/>
          <w:lang w:val="ro-RO"/>
        </w:rPr>
        <w:t>. În anul 2018,  ca urmare a actelor de violență în familie, au decedat în total 58 persoane</w:t>
      </w:r>
      <w:r w:rsidRPr="004C6275">
        <w:rPr>
          <w:rStyle w:val="FootnoteReference"/>
          <w:rFonts w:cs="Times New Roman"/>
          <w:i/>
          <w:lang w:val="ro-RO"/>
        </w:rPr>
        <w:footnoteReference w:id="6"/>
      </w:r>
      <w:r w:rsidRPr="004C6275">
        <w:rPr>
          <w:rFonts w:cs="Times New Roman"/>
          <w:i/>
          <w:lang w:val="ro-RO"/>
        </w:rPr>
        <w:t xml:space="preserve">.  </w:t>
      </w:r>
    </w:p>
    <w:p w14:paraId="1168A4B5" w14:textId="77777777" w:rsidR="00BD0294" w:rsidRPr="004C6275" w:rsidRDefault="00BD0294" w:rsidP="00BD0294">
      <w:pPr>
        <w:spacing w:after="0" w:line="240" w:lineRule="auto"/>
        <w:jc w:val="both"/>
        <w:rPr>
          <w:rFonts w:cs="Times New Roman"/>
          <w:b/>
          <w:lang w:val="ro-RO"/>
        </w:rPr>
      </w:pPr>
    </w:p>
    <w:p w14:paraId="76836940" w14:textId="77777777" w:rsidR="0019457A" w:rsidRPr="004C6275" w:rsidRDefault="0019457A" w:rsidP="00BD0294">
      <w:pPr>
        <w:spacing w:after="0" w:line="240" w:lineRule="auto"/>
        <w:jc w:val="both"/>
        <w:rPr>
          <w:rFonts w:cs="Times New Roman"/>
          <w:b/>
          <w:lang w:val="ro-RO"/>
        </w:rPr>
      </w:pPr>
      <w:r w:rsidRPr="004C6275">
        <w:rPr>
          <w:rFonts w:cs="Times New Roman"/>
          <w:b/>
          <w:lang w:val="ro-RO"/>
        </w:rPr>
        <w:t xml:space="preserve">SOLICITĂM: </w:t>
      </w:r>
    </w:p>
    <w:p w14:paraId="2A69B09E" w14:textId="77777777" w:rsidR="0019457A" w:rsidRPr="004C6275" w:rsidRDefault="0019457A" w:rsidP="00BD0294">
      <w:pPr>
        <w:spacing w:after="0" w:line="240" w:lineRule="auto"/>
        <w:jc w:val="both"/>
        <w:rPr>
          <w:rFonts w:cs="Times New Roman"/>
          <w:lang w:val="ro-RO"/>
        </w:rPr>
      </w:pPr>
    </w:p>
    <w:p w14:paraId="64F993AD" w14:textId="2BBBD232" w:rsidR="007107BF" w:rsidRPr="004C6275" w:rsidRDefault="007107BF" w:rsidP="00BD0294">
      <w:pPr>
        <w:spacing w:after="0" w:line="240" w:lineRule="auto"/>
        <w:jc w:val="both"/>
        <w:rPr>
          <w:rFonts w:cs="Times New Roman"/>
          <w:lang w:val="ro-RO"/>
        </w:rPr>
      </w:pPr>
      <w:r w:rsidRPr="004C6275">
        <w:rPr>
          <w:rFonts w:cs="Times New Roman"/>
          <w:b/>
          <w:lang w:val="ro-RO"/>
        </w:rPr>
        <w:t xml:space="preserve">1. Ratificarea Convenției de la Istanbul. </w:t>
      </w:r>
      <w:r w:rsidRPr="004C6275">
        <w:rPr>
          <w:rFonts w:cs="Times New Roman"/>
          <w:lang w:val="ro-RO"/>
        </w:rPr>
        <w:t>Până la finele anului 2020, ratificarea Convenției Consiliului Europei privind prevenirea și combaterea violenței împotriva femeilor și a violenței în familie (Convenția de la Istanbul).</w:t>
      </w:r>
    </w:p>
    <w:p w14:paraId="13D9CA3A" w14:textId="77777777" w:rsidR="007107BF" w:rsidRPr="004C6275" w:rsidRDefault="007107BF" w:rsidP="00BD0294">
      <w:pPr>
        <w:spacing w:after="0" w:line="240" w:lineRule="auto"/>
        <w:jc w:val="both"/>
        <w:rPr>
          <w:rFonts w:cs="Times New Roman"/>
          <w:lang w:val="ro-RO"/>
        </w:rPr>
      </w:pPr>
    </w:p>
    <w:p w14:paraId="33A95452" w14:textId="691CE067" w:rsidR="0019457A" w:rsidRPr="004C6275" w:rsidRDefault="00BD0294" w:rsidP="00BD0294">
      <w:pPr>
        <w:spacing w:after="0" w:line="240" w:lineRule="auto"/>
        <w:jc w:val="both"/>
        <w:rPr>
          <w:rFonts w:cs="Times New Roman"/>
          <w:lang w:val="ro-RO"/>
        </w:rPr>
      </w:pPr>
      <w:r w:rsidRPr="004C6275">
        <w:rPr>
          <w:rFonts w:cs="Times New Roman"/>
          <w:b/>
          <w:lang w:val="ro-RO"/>
        </w:rPr>
        <w:t xml:space="preserve">1.Dublarea </w:t>
      </w:r>
      <w:r w:rsidR="002719D8" w:rsidRPr="004C6275">
        <w:rPr>
          <w:rFonts w:cs="Times New Roman"/>
          <w:b/>
          <w:lang w:val="ro-RO"/>
        </w:rPr>
        <w:t xml:space="preserve">anuală a </w:t>
      </w:r>
      <w:r w:rsidRPr="004C6275">
        <w:rPr>
          <w:rFonts w:cs="Times New Roman"/>
          <w:b/>
          <w:lang w:val="ro-RO"/>
        </w:rPr>
        <w:t xml:space="preserve">nivelului de finanțare </w:t>
      </w:r>
      <w:r w:rsidR="00BE5F16" w:rsidRPr="004C6275">
        <w:rPr>
          <w:rFonts w:cs="Times New Roman"/>
          <w:lang w:val="ro-RO"/>
        </w:rPr>
        <w:t>p</w:t>
      </w:r>
      <w:r w:rsidRPr="004C6275">
        <w:rPr>
          <w:rFonts w:cs="Times New Roman"/>
          <w:lang w:val="ro-RO"/>
        </w:rPr>
        <w:t>entru asigurarea</w:t>
      </w:r>
      <w:r w:rsidR="00305440" w:rsidRPr="004C6275">
        <w:rPr>
          <w:rFonts w:cs="Times New Roman"/>
          <w:lang w:val="ro-RO"/>
        </w:rPr>
        <w:t xml:space="preserve"> </w:t>
      </w:r>
      <w:r w:rsidRPr="004C6275">
        <w:rPr>
          <w:rFonts w:cs="Times New Roman"/>
          <w:lang w:val="ro-RO"/>
        </w:rPr>
        <w:t>implementării</w:t>
      </w:r>
      <w:r w:rsidR="0019457A" w:rsidRPr="004C6275">
        <w:rPr>
          <w:rFonts w:cs="Times New Roman"/>
          <w:lang w:val="ro-RO"/>
        </w:rPr>
        <w:t xml:space="preserve"> Strategiei naționale de prevenire și combatere a violenței față de femei și a violenței în familie pe anii 2018-2023 și a Planului de </w:t>
      </w:r>
      <w:r w:rsidRPr="004C6275">
        <w:rPr>
          <w:rFonts w:cs="Times New Roman"/>
          <w:lang w:val="ro-RO"/>
        </w:rPr>
        <w:t>acțiuni pentru anii 2018-2020.</w:t>
      </w:r>
    </w:p>
    <w:p w14:paraId="0214AD1A" w14:textId="77777777" w:rsidR="00BD0294" w:rsidRPr="004C6275" w:rsidRDefault="00BD0294" w:rsidP="00BD0294">
      <w:pPr>
        <w:spacing w:after="0" w:line="240" w:lineRule="auto"/>
        <w:jc w:val="both"/>
        <w:rPr>
          <w:rFonts w:cs="Times New Roman"/>
          <w:lang w:val="ro-RO"/>
        </w:rPr>
      </w:pPr>
    </w:p>
    <w:p w14:paraId="6E4173B8" w14:textId="3AF35B4F" w:rsidR="0019457A" w:rsidRPr="004C6275" w:rsidRDefault="00BD0294" w:rsidP="00BD0294">
      <w:pPr>
        <w:spacing w:after="0" w:line="240" w:lineRule="auto"/>
        <w:jc w:val="both"/>
        <w:rPr>
          <w:rFonts w:cs="Times New Roman"/>
          <w:lang w:val="ro-RO"/>
        </w:rPr>
      </w:pPr>
      <w:r w:rsidRPr="004C6275">
        <w:rPr>
          <w:rFonts w:cs="Times New Roman"/>
          <w:b/>
          <w:lang w:val="ro-RO"/>
        </w:rPr>
        <w:t xml:space="preserve">2. </w:t>
      </w:r>
      <w:r w:rsidR="002719D8" w:rsidRPr="004C6275">
        <w:rPr>
          <w:rFonts w:cs="Times New Roman"/>
          <w:b/>
          <w:lang w:val="ro-RO"/>
        </w:rPr>
        <w:t>Până în 2021, e</w:t>
      </w:r>
      <w:r w:rsidRPr="004C6275">
        <w:rPr>
          <w:rFonts w:cs="Times New Roman"/>
          <w:b/>
          <w:lang w:val="ro-RO"/>
        </w:rPr>
        <w:t xml:space="preserve">xtinderea accesului la servicii și programe de prevenire destinate victimelor violenței în fiecare raion al țării. </w:t>
      </w:r>
      <w:r w:rsidRPr="004C6275">
        <w:rPr>
          <w:rFonts w:cs="Times New Roman"/>
          <w:lang w:val="ro-RO"/>
        </w:rPr>
        <w:t>Acest lucru ar putea fi realizat prin i</w:t>
      </w:r>
      <w:r w:rsidR="0019457A" w:rsidRPr="004C6275">
        <w:rPr>
          <w:rFonts w:cs="Times New Roman"/>
          <w:lang w:val="ro-RO"/>
        </w:rPr>
        <w:t xml:space="preserve">nițierea în 2019 </w:t>
      </w:r>
      <w:r w:rsidR="00305440" w:rsidRPr="004C6275">
        <w:rPr>
          <w:rFonts w:cs="Times New Roman"/>
          <w:lang w:val="ro-RO"/>
        </w:rPr>
        <w:t xml:space="preserve">a </w:t>
      </w:r>
      <w:r w:rsidR="0019457A" w:rsidRPr="004C6275">
        <w:rPr>
          <w:rFonts w:cs="Times New Roman"/>
          <w:lang w:val="ro-RO"/>
        </w:rPr>
        <w:t xml:space="preserve">unei reforme complexe a </w:t>
      </w:r>
      <w:r w:rsidRPr="004C6275">
        <w:rPr>
          <w:rFonts w:cs="Times New Roman"/>
          <w:lang w:val="ro-RO"/>
        </w:rPr>
        <w:t xml:space="preserve">modului de finanțare și evaluare a calității </w:t>
      </w:r>
      <w:r w:rsidR="0019457A" w:rsidRPr="004C6275">
        <w:rPr>
          <w:rFonts w:cs="Times New Roman"/>
          <w:lang w:val="ro-RO"/>
        </w:rPr>
        <w:t xml:space="preserve">serviciilor prestate </w:t>
      </w:r>
      <w:r w:rsidRPr="004C6275">
        <w:rPr>
          <w:rFonts w:cs="Times New Roman"/>
          <w:lang w:val="ro-RO"/>
        </w:rPr>
        <w:t>victimelor</w:t>
      </w:r>
      <w:r w:rsidR="00305440" w:rsidRPr="004C6275">
        <w:rPr>
          <w:rFonts w:cs="Times New Roman"/>
          <w:lang w:val="ro-RO"/>
        </w:rPr>
        <w:t xml:space="preserve"> </w:t>
      </w:r>
      <w:r w:rsidRPr="004C6275">
        <w:rPr>
          <w:rFonts w:cs="Times New Roman"/>
          <w:lang w:val="ro-RO"/>
        </w:rPr>
        <w:t>violenței.</w:t>
      </w:r>
    </w:p>
    <w:p w14:paraId="6001394E" w14:textId="77777777" w:rsidR="00BD0294" w:rsidRPr="004C6275" w:rsidRDefault="00BD0294" w:rsidP="00BD0294">
      <w:pPr>
        <w:spacing w:after="0" w:line="240" w:lineRule="auto"/>
        <w:jc w:val="both"/>
        <w:rPr>
          <w:rFonts w:cs="Times New Roman"/>
          <w:lang w:val="ro-RO"/>
        </w:rPr>
      </w:pPr>
    </w:p>
    <w:p w14:paraId="2A003FA0" w14:textId="035F3FF8" w:rsidR="0019457A" w:rsidRPr="004C6275" w:rsidRDefault="00BD0294" w:rsidP="00BD0294">
      <w:pPr>
        <w:spacing w:after="0" w:line="240" w:lineRule="auto"/>
        <w:jc w:val="both"/>
        <w:rPr>
          <w:rFonts w:cs="Times New Roman"/>
          <w:lang w:val="ro-RO"/>
        </w:rPr>
      </w:pPr>
      <w:r w:rsidRPr="004C6275">
        <w:rPr>
          <w:rFonts w:cs="Times New Roman"/>
          <w:b/>
          <w:lang w:val="ro-RO"/>
        </w:rPr>
        <w:t>3. Finanțare</w:t>
      </w:r>
      <w:r w:rsidR="0010797B" w:rsidRPr="004C6275">
        <w:rPr>
          <w:rFonts w:cs="Times New Roman"/>
          <w:b/>
          <w:lang w:val="ro-RO"/>
        </w:rPr>
        <w:t>a</w:t>
      </w:r>
      <w:r w:rsidRPr="004C6275">
        <w:rPr>
          <w:rFonts w:cs="Times New Roman"/>
          <w:b/>
          <w:lang w:val="ro-RO"/>
        </w:rPr>
        <w:t xml:space="preserve"> </w:t>
      </w:r>
      <w:r w:rsidR="00892B22" w:rsidRPr="004C6275">
        <w:rPr>
          <w:rFonts w:cs="Times New Roman"/>
          <w:b/>
          <w:lang w:val="ro-RO"/>
        </w:rPr>
        <w:t xml:space="preserve">din bugetul de </w:t>
      </w:r>
      <w:r w:rsidRPr="004C6275">
        <w:rPr>
          <w:rFonts w:cs="Times New Roman"/>
          <w:b/>
          <w:lang w:val="ro-RO"/>
        </w:rPr>
        <w:t xml:space="preserve">stat a serviciilor în domeniul violenței față de femei prestate de către organizațiile societății civile. </w:t>
      </w:r>
      <w:r w:rsidRPr="004C6275">
        <w:rPr>
          <w:rFonts w:cs="Times New Roman"/>
          <w:lang w:val="ro-RO"/>
        </w:rPr>
        <w:t>Până</w:t>
      </w:r>
      <w:r w:rsidR="0019457A" w:rsidRPr="004C6275">
        <w:rPr>
          <w:rFonts w:cs="Times New Roman"/>
          <w:lang w:val="ro-RO"/>
        </w:rPr>
        <w:t xml:space="preserve"> la finele anului 2019, elaborarea și adoptarea unui proiect de lege privind instituirea mecanism</w:t>
      </w:r>
      <w:r w:rsidR="00892B22" w:rsidRPr="004C6275">
        <w:rPr>
          <w:rFonts w:cs="Times New Roman"/>
          <w:lang w:val="ro-RO"/>
        </w:rPr>
        <w:t>ului</w:t>
      </w:r>
      <w:r w:rsidR="00471526" w:rsidRPr="004C6275">
        <w:rPr>
          <w:rFonts w:cs="Times New Roman"/>
          <w:lang w:val="ro-RO"/>
        </w:rPr>
        <w:t xml:space="preserve"> </w:t>
      </w:r>
      <w:r w:rsidR="0019457A" w:rsidRPr="004C6275">
        <w:rPr>
          <w:rFonts w:cs="Times New Roman"/>
          <w:lang w:val="ro-RO"/>
        </w:rPr>
        <w:t xml:space="preserve">de subcontractare de către stat a </w:t>
      </w:r>
      <w:r w:rsidRPr="004C6275">
        <w:rPr>
          <w:rFonts w:cs="Times New Roman"/>
          <w:lang w:val="ro-RO"/>
        </w:rPr>
        <w:t>serviciilor</w:t>
      </w:r>
      <w:r w:rsidR="0019457A" w:rsidRPr="004C6275">
        <w:rPr>
          <w:rFonts w:cs="Times New Roman"/>
          <w:lang w:val="ro-RO"/>
        </w:rPr>
        <w:t xml:space="preserve"> prestate de organizațiile non-guvernamentale în d</w:t>
      </w:r>
      <w:r w:rsidRPr="004C6275">
        <w:rPr>
          <w:rFonts w:cs="Times New Roman"/>
          <w:lang w:val="ro-RO"/>
        </w:rPr>
        <w:t xml:space="preserve">omeniul violenței față de femei. </w:t>
      </w:r>
    </w:p>
    <w:p w14:paraId="6695B23E" w14:textId="77777777" w:rsidR="00BD0294" w:rsidRPr="004C6275" w:rsidRDefault="00BD0294" w:rsidP="00BD0294">
      <w:pPr>
        <w:spacing w:after="0" w:line="240" w:lineRule="auto"/>
        <w:jc w:val="both"/>
        <w:rPr>
          <w:rFonts w:cs="Times New Roman"/>
          <w:lang w:val="ro-RO"/>
        </w:rPr>
      </w:pPr>
    </w:p>
    <w:p w14:paraId="17E3DB8D" w14:textId="555521ED" w:rsidR="0019457A" w:rsidRPr="004C6275" w:rsidRDefault="00386043" w:rsidP="0019457A">
      <w:pPr>
        <w:spacing w:line="240" w:lineRule="auto"/>
        <w:jc w:val="both"/>
        <w:rPr>
          <w:rFonts w:cs="Times New Roman"/>
          <w:lang w:val="ro-RO"/>
        </w:rPr>
      </w:pPr>
      <w:r w:rsidRPr="004C6275">
        <w:rPr>
          <w:rFonts w:cs="Times New Roman"/>
          <w:b/>
          <w:lang w:val="ro-RO"/>
        </w:rPr>
        <w:t xml:space="preserve">4. Criminalizarea prin lege a tuturor formelor de violență. </w:t>
      </w:r>
      <w:r w:rsidR="0019457A" w:rsidRPr="004C6275">
        <w:rPr>
          <w:rFonts w:cs="Times New Roman"/>
          <w:lang w:val="ro-RO"/>
        </w:rPr>
        <w:t>Până în 2020</w:t>
      </w:r>
      <w:r w:rsidR="00892B22" w:rsidRPr="004C6275">
        <w:rPr>
          <w:rFonts w:cs="Times New Roman"/>
          <w:lang w:val="ro-RO"/>
        </w:rPr>
        <w:t>,</w:t>
      </w:r>
      <w:r w:rsidR="0019457A" w:rsidRPr="004C6275">
        <w:rPr>
          <w:rFonts w:cs="Times New Roman"/>
          <w:lang w:val="ro-RO"/>
        </w:rPr>
        <w:t xml:space="preserve"> elaborarea și adoptarea unui proiect de lege care </w:t>
      </w:r>
      <w:r w:rsidR="00892B22" w:rsidRPr="004C6275">
        <w:rPr>
          <w:rFonts w:cs="Times New Roman"/>
          <w:lang w:val="ro-RO"/>
        </w:rPr>
        <w:t xml:space="preserve">să </w:t>
      </w:r>
      <w:r w:rsidR="0019457A" w:rsidRPr="004C6275">
        <w:rPr>
          <w:rFonts w:cs="Times New Roman"/>
          <w:lang w:val="ro-RO"/>
        </w:rPr>
        <w:t>prev</w:t>
      </w:r>
      <w:r w:rsidR="00892B22" w:rsidRPr="004C6275">
        <w:rPr>
          <w:rFonts w:cs="Times New Roman"/>
          <w:lang w:val="ro-RO"/>
        </w:rPr>
        <w:t>adă</w:t>
      </w:r>
      <w:r w:rsidR="0019457A" w:rsidRPr="004C6275">
        <w:rPr>
          <w:rFonts w:cs="Times New Roman"/>
          <w:lang w:val="ro-RO"/>
        </w:rPr>
        <w:t xml:space="preserve"> criminalizarea </w:t>
      </w:r>
      <w:r w:rsidR="00BD0294" w:rsidRPr="004C6275">
        <w:rPr>
          <w:rFonts w:cs="Times New Roman"/>
          <w:lang w:val="ro-RO"/>
        </w:rPr>
        <w:t>tuturor</w:t>
      </w:r>
      <w:r w:rsidR="0019457A" w:rsidRPr="004C6275">
        <w:rPr>
          <w:rFonts w:cs="Times New Roman"/>
          <w:lang w:val="ro-RO"/>
        </w:rPr>
        <w:t xml:space="preserve"> formelor de violență, indiferent de gradul vătămărilor corporale, asigurarea victimelor violenței cu expertiză extrajudiciară gratuită, acoperirea din bugetul de stat a cheltuielilor suportate de victimele violenței în familie și față de femei pentru investigațiile medicale suplimentare necesare pentru asigurarea calității și veridicității raportului de expertiză etc.</w:t>
      </w:r>
    </w:p>
    <w:p w14:paraId="5FD809A6" w14:textId="7825CAE8" w:rsidR="0019457A" w:rsidRPr="004C6275" w:rsidRDefault="00386043" w:rsidP="0019457A">
      <w:pPr>
        <w:spacing w:line="240" w:lineRule="auto"/>
        <w:jc w:val="both"/>
        <w:rPr>
          <w:rFonts w:cs="Times New Roman"/>
          <w:lang w:val="ro-RO"/>
        </w:rPr>
      </w:pPr>
      <w:r w:rsidRPr="004C6275">
        <w:rPr>
          <w:rFonts w:cs="Times New Roman"/>
          <w:b/>
          <w:lang w:val="ro-RO"/>
        </w:rPr>
        <w:t xml:space="preserve"> 6. Colectarea și diseminarea </w:t>
      </w:r>
      <w:r w:rsidR="001613DD" w:rsidRPr="004C6275">
        <w:rPr>
          <w:rFonts w:cs="Times New Roman"/>
          <w:b/>
          <w:lang w:val="ro-RO"/>
        </w:rPr>
        <w:t xml:space="preserve">operativă a </w:t>
      </w:r>
      <w:r w:rsidRPr="004C6275">
        <w:rPr>
          <w:rFonts w:cs="Times New Roman"/>
          <w:b/>
          <w:lang w:val="ro-RO"/>
        </w:rPr>
        <w:t>datelor statistice.</w:t>
      </w:r>
      <w:r w:rsidRPr="004C6275">
        <w:rPr>
          <w:rFonts w:cs="Times New Roman"/>
          <w:lang w:val="ro-RO"/>
        </w:rPr>
        <w:t xml:space="preserve"> Până în 2020</w:t>
      </w:r>
      <w:r w:rsidR="001613DD" w:rsidRPr="004C6275">
        <w:rPr>
          <w:rFonts w:cs="Times New Roman"/>
          <w:lang w:val="ro-RO"/>
        </w:rPr>
        <w:t>,</w:t>
      </w:r>
      <w:r w:rsidRPr="004C6275">
        <w:rPr>
          <w:rFonts w:cs="Times New Roman"/>
          <w:lang w:val="ro-RO"/>
        </w:rPr>
        <w:t xml:space="preserve"> asigurarea colectării semestriale a datelor statistice privind cazurile de violență de către toți actorii cu atribuții în domeniul prevenirii și combaterii violenței în familie și față de femei</w:t>
      </w:r>
      <w:r w:rsidR="001613DD" w:rsidRPr="004C6275">
        <w:rPr>
          <w:rFonts w:cs="Times New Roman"/>
          <w:lang w:val="ro-RO"/>
        </w:rPr>
        <w:t xml:space="preserve"> și diseminării operative a acestora</w:t>
      </w:r>
      <w:r w:rsidR="009E7A90" w:rsidRPr="004C6275">
        <w:rPr>
          <w:rFonts w:cs="Times New Roman"/>
          <w:lang w:val="ro-RO"/>
        </w:rPr>
        <w:t>.</w:t>
      </w:r>
    </w:p>
    <w:p w14:paraId="6E9222D3" w14:textId="7B21BE28" w:rsidR="002719D8" w:rsidRPr="004C6275" w:rsidRDefault="002719D8" w:rsidP="00920DAB">
      <w:pPr>
        <w:spacing w:after="0" w:line="240" w:lineRule="auto"/>
        <w:jc w:val="both"/>
        <w:rPr>
          <w:rFonts w:ascii="Calibri Light" w:hAnsi="Calibri Light" w:cstheme="minorHAnsi"/>
          <w:b/>
          <w:color w:val="1F497D" w:themeColor="text2"/>
          <w:sz w:val="36"/>
          <w:szCs w:val="44"/>
          <w:lang w:val="ro-RO"/>
        </w:rPr>
      </w:pPr>
    </w:p>
    <w:p w14:paraId="60688001" w14:textId="35149E99" w:rsidR="002719D8" w:rsidRPr="004C6275" w:rsidRDefault="002719D8" w:rsidP="00920DAB">
      <w:pPr>
        <w:spacing w:after="0" w:line="240" w:lineRule="auto"/>
        <w:jc w:val="both"/>
        <w:rPr>
          <w:rFonts w:ascii="Calibri Light" w:hAnsi="Calibri Light" w:cstheme="minorHAnsi"/>
          <w:b/>
          <w:color w:val="1F497D" w:themeColor="text2"/>
          <w:sz w:val="36"/>
          <w:szCs w:val="44"/>
          <w:lang w:val="ro-RO"/>
        </w:rPr>
      </w:pPr>
    </w:p>
    <w:p w14:paraId="46372583" w14:textId="77777777" w:rsidR="002719D8" w:rsidRPr="004C6275" w:rsidRDefault="002719D8" w:rsidP="00920DAB">
      <w:pPr>
        <w:spacing w:after="0" w:line="240" w:lineRule="auto"/>
        <w:jc w:val="both"/>
        <w:rPr>
          <w:rFonts w:ascii="Calibri Light" w:hAnsi="Calibri Light" w:cstheme="minorHAnsi"/>
          <w:b/>
          <w:color w:val="1F497D" w:themeColor="text2"/>
          <w:sz w:val="36"/>
          <w:szCs w:val="44"/>
          <w:lang w:val="ro-RO"/>
        </w:rPr>
      </w:pPr>
    </w:p>
    <w:p w14:paraId="71F441E5" w14:textId="77777777" w:rsidR="002719D8" w:rsidRPr="004C6275" w:rsidRDefault="002719D8" w:rsidP="00920DAB">
      <w:pPr>
        <w:spacing w:after="0" w:line="240" w:lineRule="auto"/>
        <w:jc w:val="both"/>
        <w:rPr>
          <w:rFonts w:ascii="Calibri Light" w:hAnsi="Calibri Light" w:cstheme="minorHAnsi"/>
          <w:b/>
          <w:color w:val="1F497D" w:themeColor="text2"/>
          <w:sz w:val="36"/>
          <w:szCs w:val="44"/>
          <w:lang w:val="ro-RO"/>
        </w:rPr>
      </w:pPr>
    </w:p>
    <w:p w14:paraId="2F95B8E7" w14:textId="452CEE28"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67B94813" w14:textId="77777777" w:rsidR="00F13491" w:rsidRDefault="00F13491" w:rsidP="00920DAB">
      <w:pPr>
        <w:spacing w:after="0" w:line="240" w:lineRule="auto"/>
        <w:jc w:val="both"/>
        <w:rPr>
          <w:rFonts w:ascii="Calibri Light" w:hAnsi="Calibri Light" w:cstheme="minorHAnsi"/>
          <w:b/>
          <w:color w:val="1F497D" w:themeColor="text2"/>
          <w:sz w:val="36"/>
          <w:szCs w:val="44"/>
          <w:lang w:val="ro-RO"/>
        </w:rPr>
      </w:pPr>
    </w:p>
    <w:p w14:paraId="7BB96E5B"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7DF70F1A" w14:textId="16D4C5EA" w:rsidR="0025064A" w:rsidRPr="00D957D7" w:rsidRDefault="0025064A" w:rsidP="00920DAB">
      <w:pPr>
        <w:spacing w:after="0" w:line="240" w:lineRule="auto"/>
        <w:jc w:val="both"/>
        <w:rPr>
          <w:rFonts w:ascii="Calibri Light" w:hAnsi="Calibri Light" w:cstheme="minorHAnsi"/>
          <w:b/>
          <w:color w:val="244061" w:themeColor="accent1" w:themeShade="80"/>
          <w:sz w:val="36"/>
          <w:szCs w:val="44"/>
          <w:lang w:val="ro-RO"/>
        </w:rPr>
      </w:pPr>
      <w:r w:rsidRPr="00D957D7">
        <w:rPr>
          <w:rFonts w:ascii="Calibri Light" w:hAnsi="Calibri Light" w:cstheme="minorHAnsi"/>
          <w:b/>
          <w:color w:val="244061" w:themeColor="accent1" w:themeShade="80"/>
          <w:sz w:val="36"/>
          <w:szCs w:val="44"/>
          <w:lang w:val="ro-RO"/>
        </w:rPr>
        <w:t xml:space="preserve">PIAȚA MUNCII </w:t>
      </w:r>
    </w:p>
    <w:p w14:paraId="0A0B4492" w14:textId="77777777" w:rsidR="0028661D" w:rsidRPr="004C6275" w:rsidRDefault="0028661D" w:rsidP="00920DAB">
      <w:pPr>
        <w:spacing w:after="0" w:line="240" w:lineRule="auto"/>
        <w:jc w:val="both"/>
        <w:rPr>
          <w:rFonts w:cstheme="minorHAnsi"/>
          <w:color w:val="244061" w:themeColor="accent1" w:themeShade="80"/>
          <w:lang w:val="ro-RO"/>
        </w:rPr>
      </w:pPr>
    </w:p>
    <w:p w14:paraId="6D524CB5" w14:textId="19EC65C3" w:rsidR="0028661D" w:rsidRPr="004C6275" w:rsidRDefault="00F93533" w:rsidP="00920DAB">
      <w:pPr>
        <w:spacing w:after="0" w:line="240" w:lineRule="auto"/>
        <w:jc w:val="both"/>
        <w:rPr>
          <w:rFonts w:cstheme="minorHAnsi"/>
          <w:i/>
          <w:lang w:val="ro-RO"/>
        </w:rPr>
      </w:pPr>
      <w:r w:rsidRPr="004C6275">
        <w:rPr>
          <w:rFonts w:cstheme="minorHAnsi"/>
          <w:i/>
          <w:lang w:val="ro-RO"/>
        </w:rPr>
        <w:t>În anul 2008</w:t>
      </w:r>
      <w:r w:rsidR="00465C16" w:rsidRPr="004C6275">
        <w:rPr>
          <w:rFonts w:cstheme="minorHAnsi"/>
          <w:i/>
          <w:lang w:val="ro-RO"/>
        </w:rPr>
        <w:t>,</w:t>
      </w:r>
      <w:r w:rsidRPr="004C6275">
        <w:rPr>
          <w:rFonts w:cstheme="minorHAnsi"/>
          <w:i/>
          <w:lang w:val="ro-RO"/>
        </w:rPr>
        <w:t xml:space="preserve"> aproximativ 113,1 mii de femei erau inactive pe piața muncii din cauza responsabilităților casnice</w:t>
      </w:r>
      <w:r w:rsidR="00194A5E" w:rsidRPr="004C6275">
        <w:rPr>
          <w:rFonts w:cstheme="minorHAnsi"/>
          <w:i/>
          <w:lang w:val="ro-RO"/>
        </w:rPr>
        <w:t>. În</w:t>
      </w:r>
      <w:r w:rsidRPr="004C6275">
        <w:rPr>
          <w:rFonts w:cstheme="minorHAnsi"/>
          <w:i/>
          <w:lang w:val="ro-RO"/>
        </w:rPr>
        <w:t xml:space="preserve"> anul 2017 această cifră a ajuns la 193,3 mii. Numărul de bărbați din această categorie a crescut de la 3,5 mii (2008) la 5,7 mii în 2017. </w:t>
      </w:r>
      <w:r w:rsidR="00465C16" w:rsidRPr="004C6275">
        <w:rPr>
          <w:rFonts w:cstheme="minorHAnsi"/>
          <w:i/>
          <w:lang w:val="ro-RO"/>
        </w:rPr>
        <w:t>Î</w:t>
      </w:r>
      <w:r w:rsidR="00E30E51" w:rsidRPr="004C6275">
        <w:rPr>
          <w:rFonts w:cstheme="minorHAnsi"/>
          <w:i/>
          <w:lang w:val="ro-RO"/>
        </w:rPr>
        <w:t xml:space="preserve">n </w:t>
      </w:r>
      <w:r w:rsidR="008F6C25" w:rsidRPr="004C6275">
        <w:rPr>
          <w:rFonts w:cstheme="minorHAnsi"/>
          <w:i/>
          <w:lang w:val="ro-RO"/>
        </w:rPr>
        <w:t>2017</w:t>
      </w:r>
      <w:r w:rsidRPr="004C6275">
        <w:rPr>
          <w:rFonts w:cstheme="minorHAnsi"/>
          <w:i/>
          <w:lang w:val="ro-RO"/>
        </w:rPr>
        <w:t xml:space="preserve"> salariul mediu al bărbaților a fost cu aproximativ 13,5% mai mare comparativ cu </w:t>
      </w:r>
      <w:r w:rsidR="00465C16" w:rsidRPr="004C6275">
        <w:rPr>
          <w:rFonts w:cstheme="minorHAnsi"/>
          <w:i/>
          <w:lang w:val="ro-RO"/>
        </w:rPr>
        <w:t>cel</w:t>
      </w:r>
      <w:r w:rsidRPr="004C6275">
        <w:rPr>
          <w:rFonts w:cstheme="minorHAnsi"/>
          <w:i/>
          <w:lang w:val="ro-RO"/>
        </w:rPr>
        <w:t xml:space="preserve"> al femeilor, </w:t>
      </w:r>
      <w:r w:rsidR="00E30E51" w:rsidRPr="004C6275">
        <w:rPr>
          <w:rFonts w:cstheme="minorHAnsi"/>
          <w:i/>
          <w:lang w:val="ro-RO"/>
        </w:rPr>
        <w:t xml:space="preserve">iar </w:t>
      </w:r>
      <w:r w:rsidRPr="004C6275">
        <w:rPr>
          <w:rFonts w:cstheme="minorHAnsi"/>
          <w:i/>
          <w:lang w:val="ro-RO"/>
        </w:rPr>
        <w:t>în unele domenii</w:t>
      </w:r>
      <w:r w:rsidR="00E30E51" w:rsidRPr="004C6275">
        <w:rPr>
          <w:rFonts w:cstheme="minorHAnsi"/>
          <w:i/>
          <w:lang w:val="ro-RO"/>
        </w:rPr>
        <w:t>,</w:t>
      </w:r>
      <w:r w:rsidRPr="004C6275">
        <w:rPr>
          <w:rFonts w:cstheme="minorHAnsi"/>
          <w:i/>
          <w:lang w:val="ro-RO"/>
        </w:rPr>
        <w:t xml:space="preserve"> cum ar fi finanțele</w:t>
      </w:r>
      <w:r w:rsidR="00E30E51" w:rsidRPr="004C6275">
        <w:rPr>
          <w:rFonts w:cstheme="minorHAnsi"/>
          <w:i/>
          <w:lang w:val="ro-RO"/>
        </w:rPr>
        <w:t>,</w:t>
      </w:r>
      <w:r w:rsidRPr="004C6275">
        <w:rPr>
          <w:rFonts w:cstheme="minorHAnsi"/>
          <w:i/>
          <w:lang w:val="ro-RO"/>
        </w:rPr>
        <w:t xml:space="preserve"> salariul mediu al bărbaților a fost cu 38% mai mare. </w:t>
      </w:r>
      <w:r w:rsidR="00E30E51" w:rsidRPr="004C6275">
        <w:rPr>
          <w:rFonts w:cstheme="minorHAnsi"/>
          <w:i/>
          <w:lang w:val="ro-RO"/>
        </w:rPr>
        <w:t>P</w:t>
      </w:r>
      <w:r w:rsidR="00386043" w:rsidRPr="004C6275">
        <w:rPr>
          <w:rFonts w:cstheme="minorHAnsi"/>
          <w:i/>
          <w:lang w:val="ro-RO"/>
        </w:rPr>
        <w:t>ensia medie a bărbaților era cu 19% mai mare decât  a femeilor</w:t>
      </w:r>
      <w:r w:rsidR="00E30E51" w:rsidRPr="004C6275">
        <w:rPr>
          <w:rFonts w:cstheme="minorHAnsi"/>
          <w:i/>
          <w:lang w:val="ro-RO"/>
        </w:rPr>
        <w:t>,</w:t>
      </w:r>
      <w:r w:rsidR="00386043" w:rsidRPr="004C6275">
        <w:rPr>
          <w:rFonts w:cstheme="minorHAnsi"/>
          <w:i/>
          <w:lang w:val="ro-RO"/>
        </w:rPr>
        <w:t xml:space="preserve"> iar în Chișinău această diferență a fost de 30%.</w:t>
      </w:r>
    </w:p>
    <w:p w14:paraId="0955BA63" w14:textId="77777777" w:rsidR="004C53B1" w:rsidRPr="004C6275" w:rsidRDefault="004C53B1" w:rsidP="00920DAB">
      <w:pPr>
        <w:spacing w:after="0" w:line="240" w:lineRule="auto"/>
        <w:jc w:val="both"/>
        <w:rPr>
          <w:rFonts w:cstheme="minorHAnsi"/>
          <w:b/>
          <w:lang w:val="ro-RO"/>
        </w:rPr>
      </w:pPr>
    </w:p>
    <w:p w14:paraId="38DC1A8B" w14:textId="77777777" w:rsidR="004C53B1" w:rsidRPr="004C6275" w:rsidRDefault="004C53B1" w:rsidP="008764F9">
      <w:pPr>
        <w:spacing w:line="240" w:lineRule="auto"/>
        <w:jc w:val="both"/>
        <w:rPr>
          <w:rFonts w:cstheme="minorHAnsi"/>
          <w:b/>
          <w:lang w:val="ro-RO"/>
        </w:rPr>
      </w:pPr>
      <w:r w:rsidRPr="004C6275">
        <w:rPr>
          <w:rFonts w:cstheme="minorHAnsi"/>
          <w:b/>
          <w:lang w:val="ro-RO"/>
        </w:rPr>
        <w:t>SOLICITĂM:</w:t>
      </w:r>
    </w:p>
    <w:p w14:paraId="6EF31146" w14:textId="03879E6C" w:rsidR="0025064A" w:rsidRPr="004C6275" w:rsidRDefault="0025064A" w:rsidP="000B2F9E">
      <w:pPr>
        <w:spacing w:line="240" w:lineRule="auto"/>
        <w:jc w:val="both"/>
        <w:rPr>
          <w:rFonts w:cstheme="minorHAnsi"/>
          <w:lang w:val="ro-RO"/>
        </w:rPr>
      </w:pPr>
      <w:r w:rsidRPr="004C6275">
        <w:rPr>
          <w:rFonts w:cstheme="minorHAnsi"/>
          <w:b/>
          <w:lang w:val="ro-RO"/>
        </w:rPr>
        <w:t xml:space="preserve">1. </w:t>
      </w:r>
      <w:r w:rsidR="001E7E1C" w:rsidRPr="004C6275">
        <w:rPr>
          <w:rFonts w:cstheme="minorHAnsi"/>
          <w:b/>
          <w:lang w:val="ro-RO"/>
        </w:rPr>
        <w:t>Către</w:t>
      </w:r>
      <w:r w:rsidR="004C53B1" w:rsidRPr="004C6275">
        <w:rPr>
          <w:rFonts w:cstheme="minorHAnsi"/>
          <w:b/>
          <w:lang w:val="ro-RO"/>
        </w:rPr>
        <w:t xml:space="preserve"> </w:t>
      </w:r>
      <w:r w:rsidR="00705192" w:rsidRPr="004C6275">
        <w:rPr>
          <w:rFonts w:cstheme="minorHAnsi"/>
          <w:b/>
          <w:lang w:val="ro-RO"/>
        </w:rPr>
        <w:t xml:space="preserve">anul </w:t>
      </w:r>
      <w:r w:rsidR="004C53B1" w:rsidRPr="004C6275">
        <w:rPr>
          <w:rFonts w:cstheme="minorHAnsi"/>
          <w:b/>
          <w:lang w:val="ro-RO"/>
        </w:rPr>
        <w:t xml:space="preserve">2022, </w:t>
      </w:r>
      <w:r w:rsidR="00692DB7" w:rsidRPr="004C6275">
        <w:rPr>
          <w:rFonts w:cstheme="minorHAnsi"/>
          <w:b/>
          <w:lang w:val="ro-RO"/>
        </w:rPr>
        <w:t>asigurarea</w:t>
      </w:r>
      <w:r w:rsidR="004C53B1" w:rsidRPr="004C6275">
        <w:rPr>
          <w:rFonts w:cstheme="minorHAnsi"/>
          <w:b/>
          <w:lang w:val="ro-RO"/>
        </w:rPr>
        <w:t xml:space="preserve"> creșter</w:t>
      </w:r>
      <w:r w:rsidR="00692DB7" w:rsidRPr="004C6275">
        <w:rPr>
          <w:rFonts w:cstheme="minorHAnsi"/>
          <w:b/>
          <w:lang w:val="ro-RO"/>
        </w:rPr>
        <w:t>ii</w:t>
      </w:r>
      <w:r w:rsidR="004C53B1" w:rsidRPr="004C6275">
        <w:rPr>
          <w:rFonts w:cstheme="minorHAnsi"/>
          <w:b/>
          <w:lang w:val="ro-RO"/>
        </w:rPr>
        <w:t xml:space="preserve"> până la 50% </w:t>
      </w:r>
      <w:r w:rsidR="00692DB7" w:rsidRPr="004C6275">
        <w:rPr>
          <w:rFonts w:cstheme="minorHAnsi"/>
          <w:b/>
          <w:lang w:val="ro-RO"/>
        </w:rPr>
        <w:t xml:space="preserve">a </w:t>
      </w:r>
      <w:r w:rsidR="004C53B1" w:rsidRPr="004C6275">
        <w:rPr>
          <w:rFonts w:cstheme="minorHAnsi"/>
          <w:b/>
          <w:lang w:val="ro-RO"/>
        </w:rPr>
        <w:t xml:space="preserve">copiilor </w:t>
      </w:r>
      <w:r w:rsidR="001E7E1C" w:rsidRPr="004C6275">
        <w:rPr>
          <w:rFonts w:cstheme="minorHAnsi"/>
          <w:b/>
          <w:lang w:val="ro-RO"/>
        </w:rPr>
        <w:t xml:space="preserve">cu vârsta cuprinsă între </w:t>
      </w:r>
      <w:r w:rsidR="004C53B1" w:rsidRPr="004C6275">
        <w:rPr>
          <w:rFonts w:cstheme="minorHAnsi"/>
          <w:b/>
          <w:lang w:val="ro-RO"/>
        </w:rPr>
        <w:t xml:space="preserve">de </w:t>
      </w:r>
      <w:r w:rsidR="00692DB7" w:rsidRPr="004C6275">
        <w:rPr>
          <w:rFonts w:cstheme="minorHAnsi"/>
          <w:b/>
          <w:lang w:val="ro-RO"/>
        </w:rPr>
        <w:t>0-</w:t>
      </w:r>
      <w:r w:rsidR="004C53B1" w:rsidRPr="004C6275">
        <w:rPr>
          <w:rFonts w:cstheme="minorHAnsi"/>
          <w:b/>
          <w:lang w:val="ro-RO"/>
        </w:rPr>
        <w:t xml:space="preserve">3 ani </w:t>
      </w:r>
      <w:r w:rsidR="00692DB7" w:rsidRPr="004C6275">
        <w:rPr>
          <w:rFonts w:cstheme="minorHAnsi"/>
          <w:b/>
          <w:lang w:val="ro-RO"/>
        </w:rPr>
        <w:t xml:space="preserve">înscriși </w:t>
      </w:r>
      <w:r w:rsidR="004C53B1" w:rsidRPr="004C6275">
        <w:rPr>
          <w:rFonts w:cstheme="minorHAnsi"/>
          <w:b/>
          <w:lang w:val="ro-RO"/>
        </w:rPr>
        <w:t xml:space="preserve">în grădinițe și creșe. </w:t>
      </w:r>
      <w:r w:rsidR="004C53B1" w:rsidRPr="004C6275">
        <w:rPr>
          <w:rFonts w:cstheme="minorHAnsi"/>
          <w:lang w:val="ro-RO"/>
        </w:rPr>
        <w:t xml:space="preserve">În anul 2017, ponderea copiilor în educația timpurie era de 11,2%. </w:t>
      </w:r>
      <w:r w:rsidR="001E7E1C" w:rsidRPr="004C6275">
        <w:rPr>
          <w:rFonts w:cstheme="minorHAnsi"/>
          <w:lang w:val="ro-RO"/>
        </w:rPr>
        <w:t xml:space="preserve">Indicatorul respectiv </w:t>
      </w:r>
      <w:r w:rsidR="004C53B1" w:rsidRPr="004C6275">
        <w:rPr>
          <w:rFonts w:cstheme="minorHAnsi"/>
          <w:lang w:val="ro-RO"/>
        </w:rPr>
        <w:t>poate fi asigurat prin crearea unui Fond Național pentru Creșe</w:t>
      </w:r>
      <w:r w:rsidR="001E7E1C" w:rsidRPr="004C6275">
        <w:rPr>
          <w:rFonts w:cstheme="minorHAnsi"/>
          <w:lang w:val="ro-RO"/>
        </w:rPr>
        <w:t>,</w:t>
      </w:r>
      <w:r w:rsidR="004C53B1" w:rsidRPr="004C6275">
        <w:rPr>
          <w:rFonts w:cstheme="minorHAnsi"/>
          <w:lang w:val="ro-RO"/>
        </w:rPr>
        <w:t xml:space="preserve"> care va replica experiența FISM în mobilizarea resurselor internaționale și locale pentru amenajarea și crearea locurilor calitative de creșe. </w:t>
      </w:r>
    </w:p>
    <w:p w14:paraId="7DEA8EE8" w14:textId="04D54A70" w:rsidR="0025064A" w:rsidRPr="004C6275" w:rsidRDefault="004C53B1" w:rsidP="00536BAC">
      <w:pPr>
        <w:spacing w:line="240" w:lineRule="auto"/>
        <w:jc w:val="both"/>
        <w:rPr>
          <w:rFonts w:cstheme="minorHAnsi"/>
          <w:lang w:val="ro-RO"/>
        </w:rPr>
      </w:pPr>
      <w:r w:rsidRPr="004C6275">
        <w:rPr>
          <w:rFonts w:cstheme="minorHAnsi"/>
          <w:b/>
          <w:lang w:val="ro-RO"/>
        </w:rPr>
        <w:t>2</w:t>
      </w:r>
      <w:r w:rsidR="0025064A" w:rsidRPr="004C6275">
        <w:rPr>
          <w:rFonts w:cstheme="minorHAnsi"/>
          <w:b/>
          <w:lang w:val="ro-RO"/>
        </w:rPr>
        <w:t>. Reforma</w:t>
      </w:r>
      <w:r w:rsidR="00531A89" w:rsidRPr="004C6275">
        <w:rPr>
          <w:rFonts w:cstheme="minorHAnsi"/>
          <w:b/>
          <w:lang w:val="ro-RO"/>
        </w:rPr>
        <w:t>rea</w:t>
      </w:r>
      <w:r w:rsidR="0025064A" w:rsidRPr="004C6275">
        <w:rPr>
          <w:rFonts w:cstheme="minorHAnsi"/>
          <w:b/>
          <w:lang w:val="ro-RO"/>
        </w:rPr>
        <w:t xml:space="preserve"> concediului de îngrijire a copilului. </w:t>
      </w:r>
      <w:r w:rsidRPr="004C6275">
        <w:rPr>
          <w:rFonts w:cstheme="minorHAnsi"/>
          <w:lang w:val="ro-RO"/>
        </w:rPr>
        <w:t xml:space="preserve">Prin introducerea unei grile care să ofere maximă </w:t>
      </w:r>
      <w:r w:rsidR="00603C16" w:rsidRPr="004C6275">
        <w:rPr>
          <w:rFonts w:cstheme="minorHAnsi"/>
          <w:lang w:val="ro-RO"/>
        </w:rPr>
        <w:t>flexibilitate</w:t>
      </w:r>
      <w:r w:rsidRPr="004C6275">
        <w:rPr>
          <w:rFonts w:cstheme="minorHAnsi"/>
          <w:lang w:val="ro-RO"/>
        </w:rPr>
        <w:t xml:space="preserve"> părinților, să motiveze implicarea taților</w:t>
      </w:r>
      <w:r w:rsidR="00F10A03" w:rsidRPr="004C6275">
        <w:rPr>
          <w:rFonts w:cstheme="minorHAnsi"/>
          <w:lang w:val="ro-RO"/>
        </w:rPr>
        <w:t xml:space="preserve"> </w:t>
      </w:r>
      <w:r w:rsidRPr="004C6275">
        <w:rPr>
          <w:rFonts w:cstheme="minorHAnsi"/>
          <w:lang w:val="ro-RO"/>
        </w:rPr>
        <w:t xml:space="preserve">și să </w:t>
      </w:r>
      <w:r w:rsidR="00603C16" w:rsidRPr="004C6275">
        <w:rPr>
          <w:rFonts w:cstheme="minorHAnsi"/>
          <w:lang w:val="ro-RO"/>
        </w:rPr>
        <w:t xml:space="preserve">faciliteze reîntoarcerea în câmpul muncii a mamelor. </w:t>
      </w:r>
      <w:r w:rsidR="008B53F8" w:rsidRPr="004C6275">
        <w:rPr>
          <w:lang w:val="ro-RO"/>
        </w:rPr>
        <w:t xml:space="preserve">Totodată, </w:t>
      </w:r>
      <w:r w:rsidR="00F56419" w:rsidRPr="004C6275">
        <w:rPr>
          <w:rFonts w:cstheme="minorHAnsi"/>
          <w:lang w:val="ro-RO"/>
        </w:rPr>
        <w:t>i</w:t>
      </w:r>
      <w:r w:rsidR="00603C16" w:rsidRPr="004C6275">
        <w:rPr>
          <w:rFonts w:cstheme="minorHAnsi"/>
          <w:lang w:val="ro-RO"/>
        </w:rPr>
        <w:t xml:space="preserve">ndemnizația pentru îngrijirea copilului </w:t>
      </w:r>
      <w:r w:rsidR="001232F1" w:rsidRPr="004C6275">
        <w:rPr>
          <w:rFonts w:cstheme="minorHAnsi"/>
          <w:lang w:val="ro-RO"/>
        </w:rPr>
        <w:t xml:space="preserve">urmează </w:t>
      </w:r>
      <w:r w:rsidR="00023B91" w:rsidRPr="004C6275">
        <w:rPr>
          <w:rFonts w:cstheme="minorHAnsi"/>
          <w:lang w:val="ro-RO"/>
        </w:rPr>
        <w:t>să fie</w:t>
      </w:r>
      <w:r w:rsidR="00603C16" w:rsidRPr="004C6275">
        <w:rPr>
          <w:rFonts w:cstheme="minorHAnsi"/>
          <w:lang w:val="ro-RO"/>
        </w:rPr>
        <w:t xml:space="preserve"> automat indexată la rata anuală a inflației.  </w:t>
      </w:r>
    </w:p>
    <w:p w14:paraId="2A794A73" w14:textId="30733921" w:rsidR="0025064A" w:rsidRPr="004C6275" w:rsidRDefault="004C53B1" w:rsidP="00536BAC">
      <w:pPr>
        <w:spacing w:line="240" w:lineRule="auto"/>
        <w:jc w:val="both"/>
        <w:rPr>
          <w:rFonts w:cstheme="minorHAnsi"/>
          <w:b/>
          <w:lang w:val="ro-RO"/>
        </w:rPr>
      </w:pPr>
      <w:r w:rsidRPr="004C6275">
        <w:rPr>
          <w:rFonts w:cstheme="minorHAnsi"/>
          <w:b/>
          <w:lang w:val="ro-RO"/>
        </w:rPr>
        <w:t>3</w:t>
      </w:r>
      <w:r w:rsidR="0025064A" w:rsidRPr="004C6275">
        <w:rPr>
          <w:rFonts w:cstheme="minorHAnsi"/>
          <w:b/>
          <w:lang w:val="ro-RO"/>
        </w:rPr>
        <w:t>.</w:t>
      </w:r>
      <w:r w:rsidR="00603C16" w:rsidRPr="004C6275">
        <w:rPr>
          <w:rFonts w:cstheme="minorHAnsi"/>
          <w:b/>
          <w:lang w:val="ro-RO"/>
        </w:rPr>
        <w:t xml:space="preserve"> Transpunerea aquis-ului</w:t>
      </w:r>
      <w:r w:rsidR="00825550" w:rsidRPr="004C6275">
        <w:rPr>
          <w:rStyle w:val="FootnoteReference"/>
          <w:rFonts w:cstheme="minorHAnsi"/>
          <w:b/>
          <w:lang w:val="ro-RO"/>
        </w:rPr>
        <w:footnoteReference w:id="7"/>
      </w:r>
      <w:r w:rsidR="00603C16" w:rsidRPr="004C6275">
        <w:rPr>
          <w:rFonts w:cstheme="minorHAnsi"/>
          <w:b/>
          <w:lang w:val="ro-RO"/>
        </w:rPr>
        <w:t xml:space="preserve"> și practicilor comunitare în ceea ce privește reducerea discrepanțelor salariale.  </w:t>
      </w:r>
      <w:r w:rsidR="00603C16" w:rsidRPr="004C6275">
        <w:rPr>
          <w:rFonts w:cstheme="minorHAnsi"/>
          <w:lang w:val="ro-RO"/>
        </w:rPr>
        <w:t>Acest lucru presupune</w:t>
      </w:r>
      <w:r w:rsidR="00AC091D" w:rsidRPr="004C6275">
        <w:rPr>
          <w:rFonts w:cstheme="minorHAnsi"/>
          <w:lang w:val="ro-RO"/>
        </w:rPr>
        <w:t>,</w:t>
      </w:r>
      <w:r w:rsidR="00603C16" w:rsidRPr="004C6275">
        <w:rPr>
          <w:rFonts w:cstheme="minorHAnsi"/>
          <w:lang w:val="ro-RO"/>
        </w:rPr>
        <w:t xml:space="preserve"> în special</w:t>
      </w:r>
      <w:r w:rsidR="00AC091D" w:rsidRPr="004C6275">
        <w:rPr>
          <w:rFonts w:cstheme="minorHAnsi"/>
          <w:lang w:val="ro-RO"/>
        </w:rPr>
        <w:t>,</w:t>
      </w:r>
      <w:r w:rsidR="00603C16" w:rsidRPr="004C6275">
        <w:rPr>
          <w:rFonts w:cstheme="minorHAnsi"/>
          <w:lang w:val="ro-RO"/>
        </w:rPr>
        <w:t xml:space="preserve"> introducerea măsurilor de t</w:t>
      </w:r>
      <w:r w:rsidR="0025064A" w:rsidRPr="004C6275">
        <w:rPr>
          <w:rFonts w:cstheme="minorHAnsi"/>
          <w:lang w:val="ro-RO"/>
        </w:rPr>
        <w:t>ransparenti</w:t>
      </w:r>
      <w:r w:rsidR="00603C16" w:rsidRPr="004C6275">
        <w:rPr>
          <w:rFonts w:cstheme="minorHAnsi"/>
          <w:lang w:val="ro-RO"/>
        </w:rPr>
        <w:t>zare</w:t>
      </w:r>
      <w:r w:rsidR="00AC091D" w:rsidRPr="004C6275">
        <w:rPr>
          <w:rFonts w:cstheme="minorHAnsi"/>
          <w:lang w:val="ro-RO"/>
        </w:rPr>
        <w:t xml:space="preserve"> </w:t>
      </w:r>
      <w:r w:rsidR="00603C16" w:rsidRPr="004C6275">
        <w:rPr>
          <w:rFonts w:cstheme="minorHAnsi"/>
          <w:lang w:val="ro-RO"/>
        </w:rPr>
        <w:t>a sistemului de salarizare și</w:t>
      </w:r>
      <w:r w:rsidR="00AC091D" w:rsidRPr="004C6275">
        <w:rPr>
          <w:rFonts w:cstheme="minorHAnsi"/>
          <w:lang w:val="ro-RO"/>
        </w:rPr>
        <w:t xml:space="preserve"> a</w:t>
      </w:r>
      <w:r w:rsidR="00603C16" w:rsidRPr="004C6275">
        <w:rPr>
          <w:rFonts w:cstheme="minorHAnsi"/>
          <w:lang w:val="ro-RO"/>
        </w:rPr>
        <w:t xml:space="preserve"> </w:t>
      </w:r>
      <w:r w:rsidR="00AC091D" w:rsidRPr="004C6275">
        <w:rPr>
          <w:rFonts w:cstheme="minorHAnsi"/>
          <w:lang w:val="ro-RO"/>
        </w:rPr>
        <w:t xml:space="preserve">obligativității </w:t>
      </w:r>
      <w:r w:rsidR="00603C16" w:rsidRPr="004C6275">
        <w:rPr>
          <w:rFonts w:cstheme="minorHAnsi"/>
          <w:lang w:val="ro-RO"/>
        </w:rPr>
        <w:t xml:space="preserve">față de toți angajatorii de a utiliza un sistem </w:t>
      </w:r>
      <w:r w:rsidR="0025064A" w:rsidRPr="004C6275">
        <w:rPr>
          <w:rFonts w:cstheme="minorHAnsi"/>
          <w:lang w:val="ro-RO"/>
        </w:rPr>
        <w:t>de evaluarea echitabilă a funcțiilor.</w:t>
      </w:r>
    </w:p>
    <w:p w14:paraId="0A29F479" w14:textId="5B2C3B43" w:rsidR="00603C16" w:rsidRPr="004C6275" w:rsidRDefault="00603C16" w:rsidP="00536BAC">
      <w:pPr>
        <w:pStyle w:val="ListParagraph"/>
        <w:tabs>
          <w:tab w:val="left" w:pos="284"/>
        </w:tabs>
        <w:spacing w:line="240" w:lineRule="auto"/>
        <w:ind w:left="0"/>
        <w:jc w:val="both"/>
        <w:rPr>
          <w:rFonts w:asciiTheme="majorHAnsi" w:hAnsiTheme="majorHAnsi" w:cstheme="majorHAnsi"/>
          <w:lang w:val="ro-RO"/>
        </w:rPr>
      </w:pPr>
      <w:r w:rsidRPr="004C6275">
        <w:rPr>
          <w:rFonts w:cstheme="minorHAnsi"/>
          <w:b/>
          <w:lang w:val="ro-RO"/>
        </w:rPr>
        <w:t>4</w:t>
      </w:r>
      <w:r w:rsidR="00BD250B" w:rsidRPr="004C6275">
        <w:rPr>
          <w:rFonts w:cstheme="minorHAnsi"/>
          <w:b/>
          <w:lang w:val="ro-RO"/>
        </w:rPr>
        <w:t>.</w:t>
      </w:r>
      <w:r w:rsidR="00F10A03" w:rsidRPr="004C6275">
        <w:rPr>
          <w:rFonts w:cstheme="minorHAnsi"/>
          <w:b/>
          <w:lang w:val="ro-RO"/>
        </w:rPr>
        <w:t xml:space="preserve"> </w:t>
      </w:r>
      <w:r w:rsidR="00AC091D" w:rsidRPr="004C6275">
        <w:rPr>
          <w:rFonts w:cstheme="minorHAnsi"/>
          <w:b/>
          <w:lang w:val="ro-RO"/>
        </w:rPr>
        <w:t xml:space="preserve">Adoptarea unui șir de </w:t>
      </w:r>
      <w:r w:rsidR="00531A89" w:rsidRPr="004C6275">
        <w:rPr>
          <w:rFonts w:cstheme="minorHAnsi"/>
          <w:b/>
          <w:lang w:val="ro-RO"/>
        </w:rPr>
        <w:t>m</w:t>
      </w:r>
      <w:r w:rsidR="00BD250B" w:rsidRPr="004C6275">
        <w:rPr>
          <w:rFonts w:cstheme="minorHAnsi"/>
          <w:b/>
          <w:lang w:val="ro-RO"/>
        </w:rPr>
        <w:t>ăsuri de prevenire a discriminării și hărțuirii sexuale</w:t>
      </w:r>
      <w:r w:rsidR="00531A89" w:rsidRPr="004C6275">
        <w:rPr>
          <w:rFonts w:cstheme="minorHAnsi"/>
          <w:lang w:val="ro-RO"/>
        </w:rPr>
        <w:t>:</w:t>
      </w:r>
      <w:r w:rsidR="00FC693A" w:rsidRPr="004C6275">
        <w:rPr>
          <w:rFonts w:cstheme="minorHAnsi"/>
          <w:lang w:val="ro-RO"/>
        </w:rPr>
        <w:t xml:space="preserve"> </w:t>
      </w:r>
      <w:r w:rsidR="00DA0F5B" w:rsidRPr="004C6275">
        <w:rPr>
          <w:rFonts w:cstheme="minorHAnsi"/>
          <w:lang w:val="ro-RO"/>
        </w:rPr>
        <w:t>(i)</w:t>
      </w:r>
      <w:r w:rsidR="00F10A03" w:rsidRPr="004C6275">
        <w:rPr>
          <w:rFonts w:cstheme="minorHAnsi"/>
          <w:lang w:val="ro-RO"/>
        </w:rPr>
        <w:t xml:space="preserve"> </w:t>
      </w:r>
      <w:r w:rsidR="00DA0F5B" w:rsidRPr="004C6275">
        <w:rPr>
          <w:rFonts w:cstheme="minorHAnsi"/>
          <w:lang w:val="ro-RO"/>
        </w:rPr>
        <w:t xml:space="preserve">legalizarea chestionării anonime drept instrument de identificare a </w:t>
      </w:r>
      <w:r w:rsidR="0092689C" w:rsidRPr="004C6275">
        <w:rPr>
          <w:rFonts w:cstheme="minorHAnsi"/>
          <w:lang w:val="ro-RO"/>
        </w:rPr>
        <w:t>incidenței</w:t>
      </w:r>
      <w:r w:rsidR="00FC693A" w:rsidRPr="004C6275">
        <w:rPr>
          <w:rFonts w:cstheme="minorHAnsi"/>
          <w:lang w:val="ro-RO"/>
        </w:rPr>
        <w:t xml:space="preserve"> </w:t>
      </w:r>
      <w:r w:rsidR="0092689C" w:rsidRPr="004C6275">
        <w:rPr>
          <w:rFonts w:cstheme="minorHAnsi"/>
          <w:lang w:val="ro-RO"/>
        </w:rPr>
        <w:t>hărțuirii</w:t>
      </w:r>
      <w:r w:rsidR="00DA0F5B" w:rsidRPr="004C6275">
        <w:rPr>
          <w:rFonts w:cstheme="minorHAnsi"/>
          <w:lang w:val="ro-RO"/>
        </w:rPr>
        <w:t xml:space="preserve"> sexuale la locul muncii; </w:t>
      </w:r>
      <w:r w:rsidR="000A5C91" w:rsidRPr="004C6275">
        <w:rPr>
          <w:rFonts w:cstheme="minorHAnsi"/>
          <w:lang w:val="ro-RO"/>
        </w:rPr>
        <w:t xml:space="preserve">(ii) </w:t>
      </w:r>
      <w:r w:rsidR="00D72819" w:rsidRPr="004C6275">
        <w:rPr>
          <w:rFonts w:cstheme="minorHAnsi"/>
          <w:lang w:val="ro-RO"/>
        </w:rPr>
        <w:t xml:space="preserve">indicatori de </w:t>
      </w:r>
      <w:r w:rsidR="0092689C" w:rsidRPr="004C6275">
        <w:rPr>
          <w:rFonts w:cstheme="minorHAnsi"/>
          <w:lang w:val="ro-RO"/>
        </w:rPr>
        <w:t>clasific</w:t>
      </w:r>
      <w:r w:rsidR="00D72819" w:rsidRPr="004C6275">
        <w:rPr>
          <w:rFonts w:cstheme="minorHAnsi"/>
          <w:lang w:val="ro-RO"/>
        </w:rPr>
        <w:t xml:space="preserve">are clară </w:t>
      </w:r>
      <w:r w:rsidR="0092689C" w:rsidRPr="004C6275">
        <w:rPr>
          <w:rFonts w:cstheme="minorHAnsi"/>
          <w:lang w:val="ro-RO"/>
        </w:rPr>
        <w:t xml:space="preserve"> a actelor de hărțuire sexuală după severitatea cazului; (</w:t>
      </w:r>
      <w:r w:rsidR="005C2025" w:rsidRPr="004C6275">
        <w:rPr>
          <w:rFonts w:cstheme="minorHAnsi"/>
          <w:lang w:val="ro-RO"/>
        </w:rPr>
        <w:t>i</w:t>
      </w:r>
      <w:r w:rsidR="000A5C91" w:rsidRPr="004C6275">
        <w:rPr>
          <w:rFonts w:cstheme="minorHAnsi"/>
          <w:lang w:val="ro-RO"/>
        </w:rPr>
        <w:t>ii</w:t>
      </w:r>
      <w:r w:rsidR="0092689C" w:rsidRPr="004C6275">
        <w:rPr>
          <w:rFonts w:cstheme="minorHAnsi"/>
          <w:lang w:val="ro-RO"/>
        </w:rPr>
        <w:t xml:space="preserve">) revizuirea actelor normativ-juridice în vigoare în vederea divizării clare a responsabililor și a atribuțiilor instituțiilor mandatate cu prevenirea, investigarea și combaterea hărțuirii sexuale. </w:t>
      </w:r>
      <w:r w:rsidR="00FC693A" w:rsidRPr="004C6275">
        <w:rPr>
          <w:rFonts w:cstheme="minorHAnsi"/>
          <w:lang w:val="ro-RO"/>
        </w:rPr>
        <w:t xml:space="preserve">Totodată, este nevoie de intervenții urgente pentru a preveni și combate hărțuirea sexuală în instituțiile de învățământ: </w:t>
      </w:r>
      <w:r w:rsidR="00FC693A" w:rsidRPr="004C6275">
        <w:rPr>
          <w:lang w:val="ro-RO"/>
        </w:rPr>
        <w:t>(i)</w:t>
      </w:r>
      <w:r w:rsidR="00F56419" w:rsidRPr="004C6275">
        <w:rPr>
          <w:lang w:val="ro-RO"/>
        </w:rPr>
        <w:t xml:space="preserve"> </w:t>
      </w:r>
      <w:r w:rsidR="00FC693A" w:rsidRPr="004C6275">
        <w:rPr>
          <w:lang w:val="ro-RO"/>
        </w:rPr>
        <w:t>probarea unui set unitar de prevederi legale cu privire la combaterea hărțuirii sexuale pentru instituțiile de învățământ de toate nivelele; (ii) obligarea fiecărei instituții de învățământ să aprobe și să implementeze proceduri interne de prevenire și combatere a hărțuirii sexual</w:t>
      </w:r>
      <w:r w:rsidR="00D72819" w:rsidRPr="004C6275">
        <w:rPr>
          <w:lang w:val="ro-RO"/>
        </w:rPr>
        <w:t>e</w:t>
      </w:r>
      <w:r w:rsidR="00FC693A" w:rsidRPr="004C6275">
        <w:rPr>
          <w:lang w:val="ro-RO"/>
        </w:rPr>
        <w:t>; (iii) abilitarea organizațiilor de studenți cu drepturi de confident în cazurile de hărțuire sexuală.</w:t>
      </w:r>
    </w:p>
    <w:p w14:paraId="06947F81" w14:textId="05955CD2" w:rsidR="00386043" w:rsidRPr="004C6275" w:rsidRDefault="00603C16" w:rsidP="005C2025">
      <w:pPr>
        <w:spacing w:line="240" w:lineRule="auto"/>
        <w:jc w:val="both"/>
        <w:rPr>
          <w:rFonts w:cstheme="minorHAnsi"/>
          <w:lang w:val="ro-RO"/>
        </w:rPr>
      </w:pPr>
      <w:r w:rsidRPr="004C6275">
        <w:rPr>
          <w:rFonts w:cstheme="minorHAnsi"/>
          <w:b/>
          <w:lang w:val="ro-RO"/>
        </w:rPr>
        <w:t xml:space="preserve">5. Alocarea a cel puțin 0,5% din PIB pentru măsuri active de ocupare a forței de muncă. </w:t>
      </w:r>
      <w:r w:rsidRPr="004C6275">
        <w:rPr>
          <w:rFonts w:cstheme="minorHAnsi"/>
          <w:lang w:val="ro-RO"/>
        </w:rPr>
        <w:t>În 2018, Parlamentul a aprobat o nouă lege cu privire la ocuparea forței de muncă</w:t>
      </w:r>
      <w:r w:rsidR="00464DDC" w:rsidRPr="004C6275">
        <w:rPr>
          <w:rFonts w:cstheme="minorHAnsi"/>
          <w:lang w:val="ro-RO"/>
        </w:rPr>
        <w:t>,</w:t>
      </w:r>
      <w:r w:rsidRPr="004C6275">
        <w:rPr>
          <w:rFonts w:cstheme="minorHAnsi"/>
          <w:lang w:val="ro-RO"/>
        </w:rPr>
        <w:t xml:space="preserve"> elaborată în baza celor mai bune practici de activizare a grupurilor vulnerabile pe piața muncii. P</w:t>
      </w:r>
      <w:r w:rsidR="00184C67" w:rsidRPr="004C6275">
        <w:rPr>
          <w:rFonts w:cstheme="minorHAnsi"/>
          <w:lang w:val="ro-RO"/>
        </w:rPr>
        <w:t xml:space="preserve">entru ca aceste măsuri să fie puse în practică într-un mod consistent și calitativ, autoritățile trebuie să asigure o finanțare de cel </w:t>
      </w:r>
      <w:r w:rsidR="004D28D2" w:rsidRPr="004C6275">
        <w:rPr>
          <w:rFonts w:cstheme="minorHAnsi"/>
          <w:lang w:val="ro-RO"/>
        </w:rPr>
        <w:t>pu</w:t>
      </w:r>
      <w:r w:rsidR="00184C67" w:rsidRPr="004C6275">
        <w:rPr>
          <w:rFonts w:cstheme="minorHAnsi"/>
          <w:lang w:val="ro-RO"/>
        </w:rPr>
        <w:t xml:space="preserve">țin 0,5% </w:t>
      </w:r>
      <w:r w:rsidR="004D28D2" w:rsidRPr="004C6275">
        <w:rPr>
          <w:rFonts w:cstheme="minorHAnsi"/>
          <w:lang w:val="ro-RO"/>
        </w:rPr>
        <w:t xml:space="preserve">din </w:t>
      </w:r>
      <w:r w:rsidR="00184C67" w:rsidRPr="004C6275">
        <w:rPr>
          <w:rFonts w:cstheme="minorHAnsi"/>
          <w:lang w:val="ro-RO"/>
        </w:rPr>
        <w:t xml:space="preserve">PIB (media țărilor OECD). </w:t>
      </w:r>
    </w:p>
    <w:p w14:paraId="09EC3E86" w14:textId="3B758771" w:rsidR="000A5C91" w:rsidRPr="004C6275" w:rsidRDefault="00C61585" w:rsidP="00920DAB">
      <w:pPr>
        <w:spacing w:after="0" w:line="240" w:lineRule="auto"/>
        <w:jc w:val="both"/>
        <w:rPr>
          <w:rFonts w:cstheme="minorHAnsi"/>
          <w:lang w:val="ro-RO"/>
        </w:rPr>
      </w:pPr>
      <w:r w:rsidRPr="004C6275">
        <w:rPr>
          <w:rFonts w:cstheme="minorHAnsi"/>
          <w:b/>
          <w:lang w:val="ro-RO"/>
        </w:rPr>
        <w:t>6. Eliminarea prevederilor discriminatorii legate de calcularea venitului mediu lunar pentru perioadele necontributive la</w:t>
      </w:r>
      <w:r w:rsidR="00A72CA2" w:rsidRPr="004C6275">
        <w:rPr>
          <w:rFonts w:cstheme="minorHAnsi"/>
          <w:b/>
          <w:lang w:val="ro-RO"/>
        </w:rPr>
        <w:t xml:space="preserve"> determinarea</w:t>
      </w:r>
      <w:r w:rsidR="00F10A03" w:rsidRPr="004C6275">
        <w:rPr>
          <w:rFonts w:cstheme="minorHAnsi"/>
          <w:b/>
          <w:lang w:val="ro-RO"/>
        </w:rPr>
        <w:t xml:space="preserve"> </w:t>
      </w:r>
      <w:r w:rsidRPr="004C6275">
        <w:rPr>
          <w:rFonts w:cstheme="minorHAnsi"/>
          <w:b/>
          <w:lang w:val="ro-RO"/>
        </w:rPr>
        <w:t xml:space="preserve">pensiilor. </w:t>
      </w:r>
      <w:r w:rsidRPr="004C6275">
        <w:rPr>
          <w:rFonts w:cstheme="minorHAnsi"/>
          <w:lang w:val="ro-RO"/>
        </w:rPr>
        <w:t>Aceasta se referă, în special, la perioada de îngrijire a copilului până la vârsta de trei ani. Articolul 5 alin. (2) lit. b)</w:t>
      </w:r>
      <w:r w:rsidRPr="004C6275">
        <w:rPr>
          <w:rStyle w:val="FootnoteReference"/>
          <w:rFonts w:cstheme="minorHAnsi"/>
          <w:lang w:val="ro-RO"/>
        </w:rPr>
        <w:footnoteReference w:id="8"/>
      </w:r>
      <w:r w:rsidRPr="004C6275">
        <w:rPr>
          <w:rFonts w:cstheme="minorHAnsi"/>
          <w:lang w:val="ro-RO"/>
        </w:rPr>
        <w:t xml:space="preserve"> specifică faptul că perioada de îngrijire a copilului până la vârsta de trei</w:t>
      </w:r>
      <w:r w:rsidR="00F10A03" w:rsidRPr="004C6275">
        <w:rPr>
          <w:rFonts w:cstheme="minorHAnsi"/>
          <w:lang w:val="ro-RO"/>
        </w:rPr>
        <w:t xml:space="preserve"> </w:t>
      </w:r>
      <w:r w:rsidRPr="004C6275">
        <w:rPr>
          <w:rFonts w:cstheme="minorHAnsi"/>
          <w:lang w:val="ro-RO"/>
        </w:rPr>
        <w:t xml:space="preserve">ani este asimilată stagiului de cotizare. Totodată, </w:t>
      </w:r>
      <w:r w:rsidR="00F56419" w:rsidRPr="004C6275">
        <w:rPr>
          <w:rFonts w:cstheme="minorHAnsi"/>
          <w:lang w:val="ro-RO"/>
        </w:rPr>
        <w:t xml:space="preserve">în </w:t>
      </w:r>
      <w:r w:rsidRPr="004C6275">
        <w:rPr>
          <w:rFonts w:cstheme="minorHAnsi"/>
          <w:lang w:val="ro-RO"/>
        </w:rPr>
        <w:t>art</w:t>
      </w:r>
      <w:r w:rsidR="00A942A7" w:rsidRPr="004C6275">
        <w:rPr>
          <w:rFonts w:cstheme="minorHAnsi"/>
          <w:lang w:val="ro-RO"/>
        </w:rPr>
        <w:t>.</w:t>
      </w:r>
      <w:r w:rsidRPr="004C6275">
        <w:rPr>
          <w:rFonts w:cstheme="minorHAnsi"/>
          <w:lang w:val="ro-RO"/>
        </w:rPr>
        <w:t xml:space="preserve"> 8 alin. (3) este menționat că „la determinarea venitului mediu lunar, începând cu 1 ianuarie 1999, se ia în considerare salariul minim lunar pe țară la data calculării pensiei”. Această prevedere este discriminatorie față de femei, </w:t>
      </w:r>
      <w:r w:rsidR="004B78BA" w:rsidRPr="004C6275">
        <w:rPr>
          <w:rFonts w:cstheme="minorHAnsi"/>
          <w:lang w:val="ro-RO"/>
        </w:rPr>
        <w:t>întrucât</w:t>
      </w:r>
      <w:r w:rsidRPr="004C6275">
        <w:rPr>
          <w:rFonts w:cstheme="minorHAnsi"/>
          <w:lang w:val="ro-RO"/>
        </w:rPr>
        <w:t xml:space="preserve"> legiuitorul cunoaște că majoritatea </w:t>
      </w:r>
      <w:r w:rsidR="006B2C77" w:rsidRPr="004C6275">
        <w:rPr>
          <w:rFonts w:cstheme="minorHAnsi"/>
          <w:lang w:val="ro-RO"/>
        </w:rPr>
        <w:t xml:space="preserve">persoanelor </w:t>
      </w:r>
      <w:r w:rsidRPr="004C6275">
        <w:rPr>
          <w:rFonts w:cstheme="minorHAnsi"/>
          <w:lang w:val="ro-RO"/>
        </w:rPr>
        <w:t>care optează pentru concediul de îngrijire a copilului sunt femei</w:t>
      </w:r>
      <w:r w:rsidR="002E545E" w:rsidRPr="004C6275">
        <w:rPr>
          <w:rFonts w:cstheme="minorHAnsi"/>
          <w:lang w:val="ro-RO"/>
        </w:rPr>
        <w:t>.</w:t>
      </w:r>
    </w:p>
    <w:p w14:paraId="4727592B" w14:textId="77777777" w:rsidR="000A5C91" w:rsidRPr="004C6275" w:rsidRDefault="000A5C91" w:rsidP="00920DAB">
      <w:pPr>
        <w:spacing w:after="0" w:line="240" w:lineRule="auto"/>
        <w:jc w:val="both"/>
        <w:rPr>
          <w:rFonts w:ascii="Calibri Light" w:hAnsi="Calibri Light" w:cstheme="minorHAnsi"/>
          <w:b/>
          <w:color w:val="1F497D" w:themeColor="text2"/>
          <w:sz w:val="36"/>
          <w:szCs w:val="44"/>
          <w:lang w:val="ro-RO"/>
        </w:rPr>
      </w:pPr>
    </w:p>
    <w:p w14:paraId="7D07C675"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113B2B63"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4B94B331" w14:textId="6241CBFA" w:rsidR="00BD250B" w:rsidRPr="00D957D7" w:rsidRDefault="00B26114" w:rsidP="00920DAB">
      <w:pPr>
        <w:spacing w:after="0" w:line="240" w:lineRule="auto"/>
        <w:jc w:val="both"/>
        <w:rPr>
          <w:rFonts w:ascii="Calibri Light" w:hAnsi="Calibri Light" w:cstheme="minorHAnsi"/>
          <w:b/>
          <w:color w:val="244061" w:themeColor="accent1" w:themeShade="80"/>
          <w:sz w:val="36"/>
          <w:szCs w:val="44"/>
          <w:lang w:val="ro-RO"/>
        </w:rPr>
      </w:pPr>
      <w:r w:rsidRPr="00D957D7">
        <w:rPr>
          <w:rFonts w:ascii="Calibri Light" w:hAnsi="Calibri Light" w:cstheme="minorHAnsi"/>
          <w:b/>
          <w:color w:val="244061" w:themeColor="accent1" w:themeShade="80"/>
          <w:sz w:val="36"/>
          <w:szCs w:val="44"/>
          <w:lang w:val="ro-RO"/>
        </w:rPr>
        <w:t xml:space="preserve">SĂNĂTATE </w:t>
      </w:r>
    </w:p>
    <w:p w14:paraId="22AB4036" w14:textId="2BBA4427" w:rsidR="00A04B68" w:rsidRDefault="00A04B68" w:rsidP="00A04B68">
      <w:pPr>
        <w:spacing w:after="0" w:line="240" w:lineRule="auto"/>
        <w:jc w:val="both"/>
        <w:rPr>
          <w:rFonts w:ascii="Calibri Light" w:hAnsi="Calibri Light" w:cstheme="minorHAnsi"/>
          <w:b/>
          <w:color w:val="244061" w:themeColor="accent1" w:themeShade="80"/>
          <w:lang w:val="ro-RO"/>
        </w:rPr>
      </w:pPr>
    </w:p>
    <w:p w14:paraId="23D55E71" w14:textId="77777777" w:rsidR="00D957D7" w:rsidRPr="004C6275" w:rsidRDefault="00D957D7" w:rsidP="00A04B68">
      <w:pPr>
        <w:spacing w:after="0" w:line="240" w:lineRule="auto"/>
        <w:jc w:val="both"/>
        <w:rPr>
          <w:rFonts w:ascii="Calibri Light" w:hAnsi="Calibri Light" w:cstheme="minorHAnsi"/>
          <w:b/>
          <w:color w:val="244061" w:themeColor="accent1" w:themeShade="80"/>
          <w:lang w:val="ro-RO"/>
        </w:rPr>
      </w:pPr>
    </w:p>
    <w:p w14:paraId="1ECB1031" w14:textId="4C52E68B" w:rsidR="00A04B68" w:rsidRPr="004C6275" w:rsidRDefault="007778D4" w:rsidP="00A04B68">
      <w:pPr>
        <w:spacing w:after="0" w:line="240" w:lineRule="auto"/>
        <w:jc w:val="both"/>
        <w:rPr>
          <w:rFonts w:cstheme="minorHAnsi"/>
          <w:i/>
          <w:lang w:val="ro-RO"/>
        </w:rPr>
      </w:pPr>
      <w:r w:rsidRPr="004C6275">
        <w:rPr>
          <w:rFonts w:cstheme="minorHAnsi"/>
          <w:i/>
          <w:lang w:val="ro-RO"/>
        </w:rPr>
        <w:t>În anul 2017, speranța medi</w:t>
      </w:r>
      <w:r w:rsidR="003D05F4" w:rsidRPr="004C6275">
        <w:rPr>
          <w:rFonts w:cstheme="minorHAnsi"/>
          <w:i/>
          <w:lang w:val="ro-RO"/>
        </w:rPr>
        <w:t>e</w:t>
      </w:r>
      <w:r w:rsidRPr="004C6275">
        <w:rPr>
          <w:rFonts w:cstheme="minorHAnsi"/>
          <w:i/>
          <w:lang w:val="ro-RO"/>
        </w:rPr>
        <w:t xml:space="preserve"> de viață a femeilor a fost cu 7,7 ani mai mare decât a bărbaților. </w:t>
      </w:r>
      <w:r w:rsidR="00614CB2" w:rsidRPr="004C6275">
        <w:rPr>
          <w:rFonts w:cstheme="minorHAnsi"/>
          <w:i/>
          <w:lang w:val="ro-RO"/>
        </w:rPr>
        <w:t>Rata mortalității pentru majoritatea maladii</w:t>
      </w:r>
      <w:r w:rsidR="002B4656" w:rsidRPr="004C6275">
        <w:rPr>
          <w:rFonts w:cstheme="minorHAnsi"/>
          <w:i/>
          <w:lang w:val="ro-RO"/>
        </w:rPr>
        <w:t>lor</w:t>
      </w:r>
      <w:r w:rsidR="00614CB2" w:rsidRPr="004C6275">
        <w:rPr>
          <w:rFonts w:cstheme="minorHAnsi"/>
          <w:i/>
          <w:lang w:val="ro-RO"/>
        </w:rPr>
        <w:t xml:space="preserve"> și </w:t>
      </w:r>
      <w:r w:rsidR="002B4656" w:rsidRPr="004C6275">
        <w:rPr>
          <w:rFonts w:cstheme="minorHAnsi"/>
          <w:i/>
          <w:lang w:val="ro-RO"/>
        </w:rPr>
        <w:t xml:space="preserve">a </w:t>
      </w:r>
      <w:r w:rsidR="00614CB2" w:rsidRPr="004C6275">
        <w:rPr>
          <w:rFonts w:cstheme="minorHAnsi"/>
          <w:i/>
          <w:lang w:val="ro-RO"/>
        </w:rPr>
        <w:t>cauze</w:t>
      </w:r>
      <w:r w:rsidR="002B4656" w:rsidRPr="004C6275">
        <w:rPr>
          <w:rFonts w:cstheme="minorHAnsi"/>
          <w:i/>
          <w:lang w:val="ro-RO"/>
        </w:rPr>
        <w:t>lor</w:t>
      </w:r>
      <w:r w:rsidR="00614CB2" w:rsidRPr="004C6275">
        <w:rPr>
          <w:rFonts w:cstheme="minorHAnsi"/>
          <w:i/>
          <w:lang w:val="ro-RO"/>
        </w:rPr>
        <w:t xml:space="preserve"> de deces este mult mai mare în rândul bărbaților. Spre exemplu, rata mortalității din cauza bolilor aparatului respirator este de 2</w:t>
      </w:r>
      <w:r w:rsidR="00871CCB" w:rsidRPr="004C6275">
        <w:rPr>
          <w:rFonts w:cstheme="minorHAnsi"/>
          <w:i/>
          <w:lang w:val="ro-RO"/>
        </w:rPr>
        <w:t>,</w:t>
      </w:r>
      <w:r w:rsidR="00614CB2" w:rsidRPr="004C6275">
        <w:rPr>
          <w:rFonts w:cstheme="minorHAnsi"/>
          <w:i/>
          <w:lang w:val="ro-RO"/>
        </w:rPr>
        <w:t>3 ori mai mare</w:t>
      </w:r>
      <w:r w:rsidR="002B4656" w:rsidRPr="004C6275">
        <w:rPr>
          <w:rFonts w:cstheme="minorHAnsi"/>
          <w:i/>
          <w:lang w:val="ro-RO"/>
        </w:rPr>
        <w:t xml:space="preserve"> la bărbați</w:t>
      </w:r>
      <w:r w:rsidR="00614CB2" w:rsidRPr="004C6275">
        <w:rPr>
          <w:rFonts w:cstheme="minorHAnsi"/>
          <w:i/>
          <w:lang w:val="ro-RO"/>
        </w:rPr>
        <w:t>. Aproximativ 40% din</w:t>
      </w:r>
      <w:r w:rsidR="002B4656" w:rsidRPr="004C6275">
        <w:rPr>
          <w:rFonts w:cstheme="minorHAnsi"/>
          <w:i/>
          <w:lang w:val="ro-RO"/>
        </w:rPr>
        <w:t>tre</w:t>
      </w:r>
      <w:r w:rsidR="00614CB2" w:rsidRPr="004C6275">
        <w:rPr>
          <w:rFonts w:cstheme="minorHAnsi"/>
          <w:i/>
          <w:lang w:val="ro-RO"/>
        </w:rPr>
        <w:t xml:space="preserve"> bărbați fumează de 10 ori mai mult </w:t>
      </w:r>
      <w:r w:rsidR="002B4656" w:rsidRPr="004C6275">
        <w:rPr>
          <w:rFonts w:cstheme="minorHAnsi"/>
          <w:i/>
          <w:lang w:val="ro-RO"/>
        </w:rPr>
        <w:t>decât</w:t>
      </w:r>
      <w:r w:rsidR="00614CB2" w:rsidRPr="004C6275">
        <w:rPr>
          <w:rFonts w:cstheme="minorHAnsi"/>
          <w:i/>
          <w:lang w:val="ro-RO"/>
        </w:rPr>
        <w:t xml:space="preserve"> femeile. </w:t>
      </w:r>
      <w:r w:rsidR="00614CB2" w:rsidRPr="004C6275">
        <w:rPr>
          <w:i/>
          <w:lang w:val="ro-RO"/>
        </w:rPr>
        <w:t xml:space="preserve">Este important să notăm că ultimele estimări ale OMS arată că rata fumătorilor și nivelul consumului de alcool nu s-au atenuat în ultimii ani. </w:t>
      </w:r>
      <w:r w:rsidR="00D57E56" w:rsidRPr="004C6275">
        <w:rPr>
          <w:i/>
          <w:lang w:val="ro-RO"/>
        </w:rPr>
        <w:t>Totodată, î</w:t>
      </w:r>
      <w:r w:rsidR="00386043" w:rsidRPr="004C6275">
        <w:rPr>
          <w:i/>
          <w:lang w:val="ro-RO"/>
        </w:rPr>
        <w:t xml:space="preserve">n Moldova, în fiecare zi o femeie este diagnosticată cu cancer cervical și o femeie moare din cauza acestei maladii </w:t>
      </w:r>
      <w:r w:rsidR="002B4656" w:rsidRPr="004C6275">
        <w:rPr>
          <w:i/>
          <w:lang w:val="ro-RO"/>
        </w:rPr>
        <w:t xml:space="preserve">la </w:t>
      </w:r>
      <w:r w:rsidR="00386043" w:rsidRPr="004C6275">
        <w:rPr>
          <w:i/>
          <w:lang w:val="ro-RO"/>
        </w:rPr>
        <w:t>fiecare  dou</w:t>
      </w:r>
      <w:r w:rsidR="002B4656" w:rsidRPr="004C6275">
        <w:rPr>
          <w:i/>
          <w:lang w:val="ro-RO"/>
        </w:rPr>
        <w:t>ă</w:t>
      </w:r>
      <w:r w:rsidR="00386043" w:rsidRPr="004C6275">
        <w:rPr>
          <w:i/>
          <w:lang w:val="ro-RO"/>
        </w:rPr>
        <w:t xml:space="preserve"> zi</w:t>
      </w:r>
      <w:r w:rsidR="002B4656" w:rsidRPr="004C6275">
        <w:rPr>
          <w:i/>
          <w:lang w:val="ro-RO"/>
        </w:rPr>
        <w:t>le</w:t>
      </w:r>
      <w:r w:rsidR="00386043" w:rsidRPr="004C6275">
        <w:rPr>
          <w:i/>
          <w:lang w:val="ro-RO"/>
        </w:rPr>
        <w:t xml:space="preserve">.  </w:t>
      </w:r>
    </w:p>
    <w:p w14:paraId="6F38E098" w14:textId="77777777" w:rsidR="00614CB2" w:rsidRPr="004C6275" w:rsidRDefault="00614CB2" w:rsidP="00A04B68">
      <w:pPr>
        <w:spacing w:after="0" w:line="240" w:lineRule="auto"/>
        <w:jc w:val="both"/>
        <w:rPr>
          <w:rFonts w:cstheme="minorHAnsi"/>
          <w:i/>
          <w:lang w:val="ro-RO"/>
        </w:rPr>
      </w:pPr>
    </w:p>
    <w:p w14:paraId="740D1B48" w14:textId="77777777" w:rsidR="00614CB2" w:rsidRPr="004C6275" w:rsidRDefault="00614CB2" w:rsidP="00A04B68">
      <w:pPr>
        <w:spacing w:after="0" w:line="240" w:lineRule="auto"/>
        <w:jc w:val="both"/>
        <w:rPr>
          <w:rFonts w:cstheme="minorHAnsi"/>
          <w:b/>
          <w:lang w:val="ro-RO"/>
        </w:rPr>
      </w:pPr>
      <w:r w:rsidRPr="004C6275">
        <w:rPr>
          <w:rFonts w:cstheme="minorHAnsi"/>
          <w:b/>
          <w:lang w:val="ro-RO"/>
        </w:rPr>
        <w:t xml:space="preserve">SOLICITĂM: </w:t>
      </w:r>
    </w:p>
    <w:p w14:paraId="35DC80EF" w14:textId="77777777" w:rsidR="00614CB2" w:rsidRPr="004C6275" w:rsidRDefault="00614CB2" w:rsidP="00A04B68">
      <w:pPr>
        <w:spacing w:after="0" w:line="240" w:lineRule="auto"/>
        <w:jc w:val="both"/>
        <w:rPr>
          <w:rFonts w:cstheme="minorHAnsi"/>
          <w:b/>
          <w:lang w:val="ro-RO"/>
        </w:rPr>
      </w:pPr>
    </w:p>
    <w:p w14:paraId="674B1A54" w14:textId="51030BD1" w:rsidR="00C76DD8" w:rsidRPr="004C6275" w:rsidRDefault="00614CB2" w:rsidP="00A57DD2">
      <w:pPr>
        <w:spacing w:line="240" w:lineRule="auto"/>
        <w:jc w:val="both"/>
        <w:rPr>
          <w:rFonts w:cstheme="minorHAnsi"/>
          <w:lang w:val="ro-RO"/>
        </w:rPr>
      </w:pPr>
      <w:r w:rsidRPr="004C6275">
        <w:rPr>
          <w:rFonts w:cstheme="minorHAnsi"/>
          <w:b/>
          <w:lang w:val="ro-RO"/>
        </w:rPr>
        <w:t xml:space="preserve">1. Implementarea celor mai bune practici </w:t>
      </w:r>
      <w:r w:rsidR="002B4656" w:rsidRPr="004C6275">
        <w:rPr>
          <w:rFonts w:cstheme="minorHAnsi"/>
          <w:b/>
          <w:lang w:val="ro-RO"/>
        </w:rPr>
        <w:t xml:space="preserve">ale </w:t>
      </w:r>
      <w:r w:rsidRPr="004C6275">
        <w:rPr>
          <w:rFonts w:cstheme="minorHAnsi"/>
          <w:b/>
          <w:lang w:val="ro-RO"/>
        </w:rPr>
        <w:t xml:space="preserve">OMS în </w:t>
      </w:r>
      <w:r w:rsidR="002B4656" w:rsidRPr="004C6275">
        <w:rPr>
          <w:rFonts w:cstheme="minorHAnsi"/>
          <w:b/>
          <w:lang w:val="ro-RO"/>
        </w:rPr>
        <w:t xml:space="preserve">scopul </w:t>
      </w:r>
      <w:r w:rsidRPr="004C6275">
        <w:rPr>
          <w:rFonts w:cstheme="minorHAnsi"/>
          <w:b/>
          <w:lang w:val="ro-RO"/>
        </w:rPr>
        <w:t>reducer</w:t>
      </w:r>
      <w:r w:rsidR="002B4656" w:rsidRPr="004C6275">
        <w:rPr>
          <w:rFonts w:cstheme="minorHAnsi"/>
          <w:b/>
          <w:lang w:val="ro-RO"/>
        </w:rPr>
        <w:t>ii</w:t>
      </w:r>
      <w:r w:rsidRPr="004C6275">
        <w:rPr>
          <w:rFonts w:cstheme="minorHAnsi"/>
          <w:b/>
          <w:lang w:val="ro-RO"/>
        </w:rPr>
        <w:t xml:space="preserve"> semni</w:t>
      </w:r>
      <w:r w:rsidR="00C76DD8" w:rsidRPr="004C6275">
        <w:rPr>
          <w:rFonts w:cstheme="minorHAnsi"/>
          <w:b/>
          <w:lang w:val="ro-RO"/>
        </w:rPr>
        <w:t>ficativ</w:t>
      </w:r>
      <w:r w:rsidR="002B4656" w:rsidRPr="004C6275">
        <w:rPr>
          <w:rFonts w:cstheme="minorHAnsi"/>
          <w:b/>
          <w:lang w:val="ro-RO"/>
        </w:rPr>
        <w:t>e</w:t>
      </w:r>
      <w:r w:rsidR="00C76DD8" w:rsidRPr="004C6275">
        <w:rPr>
          <w:rFonts w:cstheme="minorHAnsi"/>
          <w:b/>
          <w:lang w:val="ro-RO"/>
        </w:rPr>
        <w:t xml:space="preserve"> a consumului de alcool. </w:t>
      </w:r>
      <w:r w:rsidR="00C76DD8" w:rsidRPr="004C6275">
        <w:rPr>
          <w:rFonts w:cstheme="minorHAnsi"/>
          <w:lang w:val="ro-RO"/>
        </w:rPr>
        <w:t>Acestea presupun:</w:t>
      </w:r>
      <w:r w:rsidR="002B4656" w:rsidRPr="004C6275">
        <w:rPr>
          <w:rFonts w:cstheme="minorHAnsi"/>
          <w:lang w:val="ro-RO"/>
        </w:rPr>
        <w:t xml:space="preserve"> </w:t>
      </w:r>
      <w:r w:rsidR="00C76DD8" w:rsidRPr="004C6275">
        <w:rPr>
          <w:rFonts w:cstheme="minorHAnsi"/>
          <w:lang w:val="ro-RO"/>
        </w:rPr>
        <w:t xml:space="preserve">(a) reglementarea </w:t>
      </w:r>
      <w:r w:rsidR="002B4656" w:rsidRPr="004C6275">
        <w:rPr>
          <w:rFonts w:cstheme="minorHAnsi"/>
          <w:lang w:val="ro-RO"/>
        </w:rPr>
        <w:t>concretă</w:t>
      </w:r>
      <w:r w:rsidR="00C76DD8" w:rsidRPr="004C6275">
        <w:rPr>
          <w:rFonts w:cstheme="minorHAnsi"/>
          <w:lang w:val="ro-RO"/>
        </w:rPr>
        <w:t xml:space="preserve"> a măsurilor anti</w:t>
      </w:r>
      <w:r w:rsidR="00C35803" w:rsidRPr="004C6275">
        <w:rPr>
          <w:rFonts w:cstheme="minorHAnsi"/>
          <w:lang w:val="ro-RO"/>
        </w:rPr>
        <w:t>-</w:t>
      </w:r>
      <w:r w:rsidR="00C76DD8" w:rsidRPr="004C6275">
        <w:rPr>
          <w:rFonts w:cstheme="minorHAnsi"/>
          <w:lang w:val="ro-RO"/>
        </w:rPr>
        <w:t>alcool</w:t>
      </w:r>
      <w:r w:rsidR="00C35803" w:rsidRPr="004C6275">
        <w:rPr>
          <w:rFonts w:cstheme="minorHAnsi"/>
          <w:lang w:val="ro-RO"/>
        </w:rPr>
        <w:t>,</w:t>
      </w:r>
      <w:r w:rsidR="00C76DD8" w:rsidRPr="004C6275">
        <w:rPr>
          <w:rFonts w:cstheme="minorHAnsi"/>
          <w:lang w:val="ro-RO"/>
        </w:rPr>
        <w:t xml:space="preserve"> cum ar fi </w:t>
      </w:r>
      <w:r w:rsidR="00906E0F" w:rsidRPr="004C6275">
        <w:rPr>
          <w:rFonts w:cstheme="minorHAnsi"/>
          <w:lang w:val="ro-RO"/>
        </w:rPr>
        <w:t>creșterea</w:t>
      </w:r>
      <w:r w:rsidR="00C76DD8" w:rsidRPr="004C6275">
        <w:rPr>
          <w:rFonts w:cstheme="minorHAnsi"/>
          <w:lang w:val="ro-RO"/>
        </w:rPr>
        <w:t xml:space="preserve"> semnificativă a taxelor (între 25%-50%), interzicerea totală a </w:t>
      </w:r>
      <w:r w:rsidR="00906E0F" w:rsidRPr="004C6275">
        <w:rPr>
          <w:rFonts w:cstheme="minorHAnsi"/>
          <w:lang w:val="ro-RO"/>
        </w:rPr>
        <w:t>publicității</w:t>
      </w:r>
      <w:r w:rsidR="00C76DD8" w:rsidRPr="004C6275">
        <w:rPr>
          <w:rFonts w:cstheme="minorHAnsi"/>
          <w:lang w:val="ro-RO"/>
        </w:rPr>
        <w:t xml:space="preserve"> alcool</w:t>
      </w:r>
      <w:r w:rsidR="002B4656" w:rsidRPr="004C6275">
        <w:rPr>
          <w:rFonts w:cstheme="minorHAnsi"/>
          <w:lang w:val="ro-RO"/>
        </w:rPr>
        <w:t>ului</w:t>
      </w:r>
      <w:r w:rsidR="00C76DD8" w:rsidRPr="004C6275">
        <w:rPr>
          <w:rFonts w:cstheme="minorHAnsi"/>
          <w:lang w:val="ro-RO"/>
        </w:rPr>
        <w:t xml:space="preserve">, introducerea </w:t>
      </w:r>
      <w:r w:rsidR="00906E0F" w:rsidRPr="004C6275">
        <w:rPr>
          <w:rFonts w:cstheme="minorHAnsi"/>
          <w:lang w:val="ro-RO"/>
        </w:rPr>
        <w:t>restricțiilor</w:t>
      </w:r>
      <w:r w:rsidR="00C76DD8" w:rsidRPr="004C6275">
        <w:rPr>
          <w:rFonts w:cstheme="minorHAnsi"/>
          <w:lang w:val="ro-RO"/>
        </w:rPr>
        <w:t xml:space="preserve"> în vânzarea alcoolului (spre exemplu</w:t>
      </w:r>
      <w:r w:rsidR="00F56419" w:rsidRPr="004C6275">
        <w:rPr>
          <w:rFonts w:cstheme="minorHAnsi"/>
          <w:lang w:val="ro-RO"/>
        </w:rPr>
        <w:t>,</w:t>
      </w:r>
      <w:r w:rsidR="00C76DD8" w:rsidRPr="004C6275">
        <w:rPr>
          <w:rFonts w:cstheme="minorHAnsi"/>
          <w:lang w:val="ro-RO"/>
        </w:rPr>
        <w:t xml:space="preserve"> interzicerea vânzării alcoolului în raza drumurilor </w:t>
      </w:r>
      <w:r w:rsidR="00906E0F" w:rsidRPr="004C6275">
        <w:rPr>
          <w:rFonts w:cstheme="minorHAnsi"/>
          <w:lang w:val="ro-RO"/>
        </w:rPr>
        <w:t>naționale</w:t>
      </w:r>
      <w:r w:rsidR="00C76DD8" w:rsidRPr="004C6275">
        <w:rPr>
          <w:rFonts w:cstheme="minorHAnsi"/>
          <w:lang w:val="ro-RO"/>
        </w:rPr>
        <w:t>, benzinării, interzicerea vânzării de alcool în week-end, perioada de noapte)</w:t>
      </w:r>
      <w:r w:rsidR="00F56419" w:rsidRPr="004C6275">
        <w:rPr>
          <w:rFonts w:cstheme="minorHAnsi"/>
          <w:lang w:val="ro-RO"/>
        </w:rPr>
        <w:t>;</w:t>
      </w:r>
      <w:r w:rsidR="00C76DD8" w:rsidRPr="004C6275">
        <w:rPr>
          <w:rFonts w:cstheme="minorHAnsi"/>
          <w:lang w:val="ro-RO"/>
        </w:rPr>
        <w:t xml:space="preserve"> (b) alocarea surselor de </w:t>
      </w:r>
      <w:r w:rsidR="00906E0F" w:rsidRPr="004C6275">
        <w:rPr>
          <w:rFonts w:cstheme="minorHAnsi"/>
          <w:lang w:val="ro-RO"/>
        </w:rPr>
        <w:t>finanțare</w:t>
      </w:r>
      <w:r w:rsidR="00C76DD8" w:rsidRPr="004C6275">
        <w:rPr>
          <w:rFonts w:cstheme="minorHAnsi"/>
          <w:lang w:val="ro-RO"/>
        </w:rPr>
        <w:t xml:space="preserve"> suplimentar</w:t>
      </w:r>
      <w:r w:rsidR="00BB54CA" w:rsidRPr="004C6275">
        <w:rPr>
          <w:rFonts w:cstheme="minorHAnsi"/>
          <w:lang w:val="ro-RO"/>
        </w:rPr>
        <w:t>ă</w:t>
      </w:r>
      <w:r w:rsidR="00C76DD8" w:rsidRPr="004C6275">
        <w:rPr>
          <w:rFonts w:cstheme="minorHAnsi"/>
          <w:lang w:val="ro-RO"/>
        </w:rPr>
        <w:t xml:space="preserve"> pentru implementarea intervențiilor ce </w:t>
      </w:r>
      <w:r w:rsidR="00C61585" w:rsidRPr="004C6275">
        <w:rPr>
          <w:rFonts w:cstheme="minorHAnsi"/>
          <w:lang w:val="ro-RO"/>
        </w:rPr>
        <w:t>țin</w:t>
      </w:r>
      <w:r w:rsidR="00C76DD8" w:rsidRPr="004C6275">
        <w:rPr>
          <w:rFonts w:cstheme="minorHAnsi"/>
          <w:lang w:val="ro-RO"/>
        </w:rPr>
        <w:t xml:space="preserve"> de serviciile de prevenire </w:t>
      </w:r>
      <w:r w:rsidR="00C61585" w:rsidRPr="004C6275">
        <w:rPr>
          <w:rFonts w:cstheme="minorHAnsi"/>
          <w:lang w:val="ro-RO"/>
        </w:rPr>
        <w:t>și</w:t>
      </w:r>
      <w:r w:rsidR="00C76DD8" w:rsidRPr="004C6275">
        <w:rPr>
          <w:rFonts w:cstheme="minorHAnsi"/>
          <w:lang w:val="ro-RO"/>
        </w:rPr>
        <w:t xml:space="preserve"> </w:t>
      </w:r>
      <w:r w:rsidR="00906E0F" w:rsidRPr="004C6275">
        <w:rPr>
          <w:rFonts w:cstheme="minorHAnsi"/>
          <w:lang w:val="ro-RO"/>
        </w:rPr>
        <w:t>educația</w:t>
      </w:r>
      <w:r w:rsidR="00C76DD8" w:rsidRPr="004C6275">
        <w:rPr>
          <w:rFonts w:cstheme="minorHAnsi"/>
          <w:lang w:val="ro-RO"/>
        </w:rPr>
        <w:t xml:space="preserve"> tinerilor. </w:t>
      </w:r>
    </w:p>
    <w:p w14:paraId="473DE99F" w14:textId="0440D1AD" w:rsidR="00FC693A" w:rsidRPr="004C6275" w:rsidRDefault="00C76DD8" w:rsidP="00FC693A">
      <w:pPr>
        <w:spacing w:after="0" w:line="240" w:lineRule="auto"/>
        <w:jc w:val="both"/>
        <w:rPr>
          <w:color w:val="444950"/>
          <w:shd w:val="clear" w:color="auto" w:fill="F1F0F0"/>
          <w:lang w:val="ro-RO"/>
        </w:rPr>
      </w:pPr>
      <w:r w:rsidRPr="004C6275">
        <w:rPr>
          <w:rFonts w:cstheme="minorHAnsi"/>
          <w:b/>
          <w:lang w:val="ro-RO"/>
        </w:rPr>
        <w:t xml:space="preserve">2. </w:t>
      </w:r>
      <w:r w:rsidR="00BB54CA" w:rsidRPr="004C6275">
        <w:rPr>
          <w:rFonts w:cstheme="minorHAnsi"/>
          <w:b/>
          <w:lang w:val="ro-RO"/>
        </w:rPr>
        <w:t>Aplicarea m</w:t>
      </w:r>
      <w:r w:rsidRPr="004C6275">
        <w:rPr>
          <w:rFonts w:cstheme="minorHAnsi"/>
          <w:b/>
          <w:lang w:val="ro-RO"/>
        </w:rPr>
        <w:t>ăsuri</w:t>
      </w:r>
      <w:r w:rsidR="00BB54CA" w:rsidRPr="004C6275">
        <w:rPr>
          <w:rFonts w:cstheme="minorHAnsi"/>
          <w:b/>
          <w:lang w:val="ro-RO"/>
        </w:rPr>
        <w:t>lor</w:t>
      </w:r>
      <w:r w:rsidRPr="004C6275">
        <w:rPr>
          <w:rFonts w:cstheme="minorHAnsi"/>
          <w:b/>
          <w:lang w:val="ro-RO"/>
        </w:rPr>
        <w:t xml:space="preserve"> antitutun. </w:t>
      </w:r>
      <w:r w:rsidR="00FC693A" w:rsidRPr="004C6275">
        <w:rPr>
          <w:rFonts w:cs="Arial"/>
          <w:color w:val="000000" w:themeColor="text1"/>
          <w:lang w:val="ro-RO"/>
        </w:rPr>
        <w:t xml:space="preserve">Elaborarea unui plan de majorare a accizelor la produsele de tutun, astfel ca până în anul 2023 accizele </w:t>
      </w:r>
      <w:r w:rsidR="00BB54CA" w:rsidRPr="004C6275">
        <w:rPr>
          <w:rFonts w:cs="Arial"/>
          <w:color w:val="000000" w:themeColor="text1"/>
          <w:lang w:val="ro-RO"/>
        </w:rPr>
        <w:t xml:space="preserve">în </w:t>
      </w:r>
      <w:r w:rsidR="00FC693A" w:rsidRPr="004C6275">
        <w:rPr>
          <w:rFonts w:cs="Arial"/>
          <w:color w:val="000000" w:themeColor="text1"/>
          <w:lang w:val="ro-RO"/>
        </w:rPr>
        <w:t>R.</w:t>
      </w:r>
      <w:r w:rsidR="00BB54CA" w:rsidRPr="004C6275">
        <w:rPr>
          <w:rFonts w:cs="Arial"/>
          <w:color w:val="000000" w:themeColor="text1"/>
          <w:lang w:val="ro-RO"/>
        </w:rPr>
        <w:t xml:space="preserve"> </w:t>
      </w:r>
      <w:r w:rsidR="00FC693A" w:rsidRPr="004C6275">
        <w:rPr>
          <w:rFonts w:cs="Arial"/>
          <w:color w:val="000000" w:themeColor="text1"/>
          <w:lang w:val="ro-RO"/>
        </w:rPr>
        <w:t>Moldova să fie la nivel cu cele din România. Totodată, este necesar de modificat Leg</w:t>
      </w:r>
      <w:r w:rsidR="00BB54CA" w:rsidRPr="004C6275">
        <w:rPr>
          <w:rFonts w:cs="Arial"/>
          <w:color w:val="000000" w:themeColor="text1"/>
          <w:lang w:val="ro-RO"/>
        </w:rPr>
        <w:t>ea</w:t>
      </w:r>
      <w:r w:rsidR="00FC693A" w:rsidRPr="004C6275">
        <w:rPr>
          <w:rFonts w:cs="Arial"/>
          <w:color w:val="000000" w:themeColor="text1"/>
          <w:lang w:val="ro-RO"/>
        </w:rPr>
        <w:t xml:space="preserve"> 278/2007 privind controlul tutunului, astfel ca produsele din tutun care nu ard să fie limitate ca și alte produse din tutun care ard.</w:t>
      </w:r>
    </w:p>
    <w:p w14:paraId="2D386230" w14:textId="77777777" w:rsidR="00FC693A" w:rsidRPr="004C6275" w:rsidRDefault="00FC693A" w:rsidP="00FC693A">
      <w:pPr>
        <w:spacing w:after="0" w:line="240" w:lineRule="auto"/>
        <w:jc w:val="both"/>
        <w:rPr>
          <w:rFonts w:cstheme="minorHAnsi"/>
          <w:b/>
          <w:lang w:val="ro-RO"/>
        </w:rPr>
      </w:pPr>
    </w:p>
    <w:p w14:paraId="2A2906D9" w14:textId="13143A66" w:rsidR="007107BF" w:rsidRPr="004C6275" w:rsidRDefault="00C76DD8" w:rsidP="004D18A5">
      <w:pPr>
        <w:spacing w:line="240" w:lineRule="auto"/>
        <w:jc w:val="both"/>
        <w:rPr>
          <w:rFonts w:cstheme="minorHAnsi"/>
          <w:lang w:val="ro-RO"/>
        </w:rPr>
      </w:pPr>
      <w:r w:rsidRPr="004C6275">
        <w:rPr>
          <w:rFonts w:cstheme="minorHAnsi"/>
          <w:b/>
          <w:lang w:val="ro-RO"/>
        </w:rPr>
        <w:t xml:space="preserve">3. </w:t>
      </w:r>
      <w:r w:rsidR="004D18A5" w:rsidRPr="004C6275">
        <w:rPr>
          <w:rFonts w:cstheme="minorHAnsi"/>
          <w:b/>
          <w:lang w:val="ro-RO"/>
        </w:rPr>
        <w:t xml:space="preserve">Asigurarea unui acces de 100% </w:t>
      </w:r>
      <w:r w:rsidRPr="004C6275">
        <w:rPr>
          <w:rFonts w:cstheme="minorHAnsi"/>
          <w:b/>
          <w:lang w:val="ro-RO"/>
        </w:rPr>
        <w:t>la servicii</w:t>
      </w:r>
      <w:r w:rsidR="00A41D54" w:rsidRPr="004C6275">
        <w:rPr>
          <w:rFonts w:cstheme="minorHAnsi"/>
          <w:b/>
          <w:lang w:val="ro-RO"/>
        </w:rPr>
        <w:t>le</w:t>
      </w:r>
      <w:r w:rsidRPr="004C6275">
        <w:rPr>
          <w:rFonts w:cstheme="minorHAnsi"/>
          <w:b/>
          <w:lang w:val="ro-RO"/>
        </w:rPr>
        <w:t xml:space="preserve"> de</w:t>
      </w:r>
      <w:r w:rsidR="00C61585" w:rsidRPr="004C6275">
        <w:rPr>
          <w:rFonts w:cstheme="minorHAnsi"/>
          <w:b/>
          <w:lang w:val="ro-RO"/>
        </w:rPr>
        <w:t xml:space="preserve"> îngrijire sexual-reproductivă și contracepție. </w:t>
      </w:r>
      <w:r w:rsidR="00C61585" w:rsidRPr="004C6275">
        <w:rPr>
          <w:rFonts w:cstheme="minorHAnsi"/>
          <w:lang w:val="ro-RO"/>
        </w:rPr>
        <w:t>Rata de utilizare a contraceptiv</w:t>
      </w:r>
      <w:r w:rsidR="00A41D54" w:rsidRPr="004C6275">
        <w:rPr>
          <w:rFonts w:cstheme="minorHAnsi"/>
          <w:lang w:val="ro-RO"/>
        </w:rPr>
        <w:t>e</w:t>
      </w:r>
      <w:r w:rsidR="00C61585" w:rsidRPr="004C6275">
        <w:rPr>
          <w:rFonts w:cstheme="minorHAnsi"/>
          <w:lang w:val="ro-RO"/>
        </w:rPr>
        <w:t>lor în rândul femeilor este de doar 31,6%.</w:t>
      </w:r>
      <w:r w:rsidR="0009700E" w:rsidRPr="004C6275">
        <w:rPr>
          <w:rFonts w:cstheme="minorHAnsi"/>
          <w:lang w:val="ro-RO"/>
        </w:rPr>
        <w:t xml:space="preserve"> </w:t>
      </w:r>
      <w:r w:rsidR="0009700E" w:rsidRPr="004C6275">
        <w:rPr>
          <w:lang w:val="ro-RO"/>
        </w:rPr>
        <w:t xml:space="preserve">Serviciile de contracepție trebuie să devină o componentă principală a politicilor integrate în domeniul </w:t>
      </w:r>
      <w:r w:rsidR="00EB7CF8" w:rsidRPr="004C6275">
        <w:rPr>
          <w:lang w:val="ro-RO"/>
        </w:rPr>
        <w:t>sănătății</w:t>
      </w:r>
      <w:r w:rsidR="004D18A5" w:rsidRPr="004C6275">
        <w:rPr>
          <w:lang w:val="ro-RO"/>
        </w:rPr>
        <w:t xml:space="preserve"> sexuale și reproductive. </w:t>
      </w:r>
      <w:r w:rsidR="00400AD6" w:rsidRPr="004C6275">
        <w:rPr>
          <w:lang w:val="ro-RO"/>
        </w:rPr>
        <w:t>Compania Națională de Asigurări în Medicină trebuie să includ</w:t>
      </w:r>
      <w:r w:rsidR="00E95284" w:rsidRPr="004C6275">
        <w:rPr>
          <w:lang w:val="ro-RO"/>
        </w:rPr>
        <w:t>ă</w:t>
      </w:r>
      <w:r w:rsidR="00400AD6" w:rsidRPr="004C6275">
        <w:rPr>
          <w:lang w:val="ro-RO"/>
        </w:rPr>
        <w:t xml:space="preserve"> contraceptive moderne pe lista medicamentelor compensate.</w:t>
      </w:r>
      <w:r w:rsidR="0009700E" w:rsidRPr="004C6275">
        <w:rPr>
          <w:lang w:val="ro-RO"/>
        </w:rPr>
        <w:t xml:space="preserve"> </w:t>
      </w:r>
      <w:r w:rsidR="004D18A5" w:rsidRPr="004C6275">
        <w:rPr>
          <w:rFonts w:cstheme="minorHAnsi"/>
          <w:lang w:val="ro-RO"/>
        </w:rPr>
        <w:t>Până în 2020, toate instituțiile medicale vor avea în posesie scaune ginecologice pentru femei cu dizabilități locomotorii.</w:t>
      </w:r>
    </w:p>
    <w:p w14:paraId="33BE52C9" w14:textId="365223AA" w:rsidR="00C61585" w:rsidRPr="004C6275" w:rsidRDefault="00C61585" w:rsidP="00A57DD2">
      <w:pPr>
        <w:spacing w:line="240" w:lineRule="auto"/>
        <w:jc w:val="both"/>
        <w:rPr>
          <w:rFonts w:cstheme="minorHAnsi"/>
          <w:b/>
          <w:lang w:val="ro-RO"/>
        </w:rPr>
      </w:pPr>
    </w:p>
    <w:p w14:paraId="082EF4CC" w14:textId="77777777" w:rsidR="004D18A5" w:rsidRPr="004C6275" w:rsidRDefault="004D18A5" w:rsidP="00A57DD2">
      <w:pPr>
        <w:spacing w:line="240" w:lineRule="auto"/>
        <w:jc w:val="both"/>
        <w:rPr>
          <w:rFonts w:cstheme="minorHAnsi"/>
          <w:b/>
          <w:lang w:val="ro-RO"/>
        </w:rPr>
      </w:pPr>
    </w:p>
    <w:p w14:paraId="277AB12D" w14:textId="77777777" w:rsidR="00C76DD8" w:rsidRPr="004C6275" w:rsidRDefault="00C76DD8" w:rsidP="00A57DD2">
      <w:pPr>
        <w:spacing w:line="240" w:lineRule="auto"/>
        <w:jc w:val="both"/>
        <w:rPr>
          <w:rFonts w:cstheme="minorHAnsi"/>
          <w:b/>
          <w:lang w:val="ro-RO"/>
        </w:rPr>
      </w:pPr>
    </w:p>
    <w:p w14:paraId="28EBE21E" w14:textId="5E8F9E03" w:rsidR="00A04B68" w:rsidRPr="004C6275" w:rsidRDefault="00A04B68" w:rsidP="00A04B68">
      <w:pPr>
        <w:spacing w:after="0" w:line="240" w:lineRule="auto"/>
        <w:jc w:val="both"/>
        <w:rPr>
          <w:rFonts w:ascii="Calibri Light" w:hAnsi="Calibri Light" w:cstheme="minorHAnsi"/>
          <w:b/>
          <w:color w:val="244061" w:themeColor="accent1" w:themeShade="80"/>
          <w:sz w:val="44"/>
          <w:szCs w:val="44"/>
          <w:lang w:val="ro-RO"/>
        </w:rPr>
      </w:pPr>
    </w:p>
    <w:p w14:paraId="7C4E5969" w14:textId="2544CF77" w:rsidR="002D3431" w:rsidRPr="004C6275" w:rsidRDefault="002D3431" w:rsidP="00A04B68">
      <w:pPr>
        <w:spacing w:after="0" w:line="240" w:lineRule="auto"/>
        <w:jc w:val="both"/>
        <w:rPr>
          <w:rFonts w:ascii="Calibri Light" w:hAnsi="Calibri Light" w:cstheme="minorHAnsi"/>
          <w:b/>
          <w:color w:val="244061" w:themeColor="accent1" w:themeShade="80"/>
          <w:sz w:val="44"/>
          <w:szCs w:val="44"/>
          <w:lang w:val="ro-RO"/>
        </w:rPr>
      </w:pPr>
    </w:p>
    <w:p w14:paraId="19DA62B9" w14:textId="74DA3B1C" w:rsidR="004D18A5" w:rsidRPr="004C6275" w:rsidRDefault="004D18A5" w:rsidP="00A04B68">
      <w:pPr>
        <w:spacing w:after="0" w:line="240" w:lineRule="auto"/>
        <w:jc w:val="both"/>
        <w:rPr>
          <w:rFonts w:ascii="Calibri Light" w:hAnsi="Calibri Light" w:cstheme="minorHAnsi"/>
          <w:b/>
          <w:color w:val="244061" w:themeColor="accent1" w:themeShade="80"/>
          <w:sz w:val="44"/>
          <w:szCs w:val="44"/>
          <w:lang w:val="ro-RO"/>
        </w:rPr>
      </w:pPr>
    </w:p>
    <w:p w14:paraId="41B9558F" w14:textId="66EF42FC" w:rsidR="004D18A5" w:rsidRPr="004C6275" w:rsidRDefault="004D18A5" w:rsidP="00A04B68">
      <w:pPr>
        <w:spacing w:after="0" w:line="240" w:lineRule="auto"/>
        <w:jc w:val="both"/>
        <w:rPr>
          <w:rFonts w:ascii="Calibri Light" w:hAnsi="Calibri Light" w:cstheme="minorHAnsi"/>
          <w:b/>
          <w:color w:val="244061" w:themeColor="accent1" w:themeShade="80"/>
          <w:sz w:val="44"/>
          <w:szCs w:val="44"/>
          <w:lang w:val="ro-RO"/>
        </w:rPr>
      </w:pPr>
    </w:p>
    <w:p w14:paraId="64C8FA0B" w14:textId="4D85E3EF" w:rsidR="00FC693A" w:rsidRPr="004C6275" w:rsidRDefault="00FC693A" w:rsidP="00A04B68">
      <w:pPr>
        <w:spacing w:after="0" w:line="240" w:lineRule="auto"/>
        <w:jc w:val="both"/>
        <w:rPr>
          <w:rFonts w:ascii="Calibri Light" w:hAnsi="Calibri Light" w:cstheme="minorHAnsi"/>
          <w:b/>
          <w:color w:val="244061" w:themeColor="accent1" w:themeShade="80"/>
          <w:sz w:val="44"/>
          <w:szCs w:val="44"/>
          <w:lang w:val="ro-RO"/>
        </w:rPr>
      </w:pPr>
    </w:p>
    <w:p w14:paraId="0D2D5D3A" w14:textId="509DED55" w:rsidR="00C34214" w:rsidRPr="004C6275" w:rsidRDefault="00C34214" w:rsidP="00920DAB">
      <w:pPr>
        <w:spacing w:after="0" w:line="240" w:lineRule="auto"/>
        <w:jc w:val="both"/>
        <w:rPr>
          <w:rFonts w:ascii="Calibri Light" w:hAnsi="Calibri Light" w:cstheme="minorHAnsi"/>
          <w:b/>
          <w:color w:val="244061" w:themeColor="accent1" w:themeShade="80"/>
          <w:sz w:val="44"/>
          <w:szCs w:val="44"/>
          <w:lang w:val="ro-RO"/>
        </w:rPr>
      </w:pPr>
    </w:p>
    <w:p w14:paraId="205E3CC2" w14:textId="77777777" w:rsidR="005D4718" w:rsidRPr="004C6275" w:rsidRDefault="005D4718" w:rsidP="00920DAB">
      <w:pPr>
        <w:spacing w:after="0" w:line="240" w:lineRule="auto"/>
        <w:jc w:val="both"/>
        <w:rPr>
          <w:rFonts w:ascii="Calibri Light" w:hAnsi="Calibri Light" w:cstheme="minorHAnsi"/>
          <w:b/>
          <w:color w:val="1F497D" w:themeColor="text2"/>
          <w:sz w:val="36"/>
          <w:szCs w:val="44"/>
          <w:lang w:val="ro-RO"/>
        </w:rPr>
      </w:pPr>
    </w:p>
    <w:p w14:paraId="4E83997C"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06F850E8"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187D586D" w14:textId="77777777" w:rsidR="005B382E" w:rsidRDefault="005B382E" w:rsidP="00920DAB">
      <w:pPr>
        <w:spacing w:after="0" w:line="240" w:lineRule="auto"/>
        <w:jc w:val="both"/>
        <w:rPr>
          <w:rFonts w:ascii="Calibri Light" w:hAnsi="Calibri Light" w:cstheme="minorHAnsi"/>
          <w:b/>
          <w:color w:val="1F497D" w:themeColor="text2"/>
          <w:sz w:val="36"/>
          <w:szCs w:val="44"/>
          <w:lang w:val="ro-RO"/>
        </w:rPr>
      </w:pPr>
    </w:p>
    <w:p w14:paraId="5A4DAB47" w14:textId="720327C8" w:rsidR="00A04B68" w:rsidRPr="004C6275" w:rsidRDefault="00FC2A86" w:rsidP="00920DAB">
      <w:pPr>
        <w:spacing w:after="0" w:line="240" w:lineRule="auto"/>
        <w:jc w:val="both"/>
        <w:rPr>
          <w:rFonts w:cstheme="minorHAnsi"/>
          <w:b/>
          <w:color w:val="1F497D" w:themeColor="text2"/>
          <w:sz w:val="44"/>
          <w:szCs w:val="44"/>
          <w:lang w:val="ro-RO"/>
        </w:rPr>
      </w:pPr>
      <w:r w:rsidRPr="00D957D7">
        <w:rPr>
          <w:rFonts w:ascii="Calibri Light" w:hAnsi="Calibri Light" w:cstheme="minorHAnsi"/>
          <w:b/>
          <w:color w:val="244061" w:themeColor="accent1" w:themeShade="80"/>
          <w:sz w:val="36"/>
          <w:szCs w:val="44"/>
          <w:lang w:val="ro-RO"/>
        </w:rPr>
        <w:t xml:space="preserve">ANTREPRENORIAT </w:t>
      </w:r>
    </w:p>
    <w:p w14:paraId="70B0A399" w14:textId="77777777" w:rsidR="00522C58" w:rsidRPr="004C6275" w:rsidRDefault="00522C58" w:rsidP="00920DAB">
      <w:pPr>
        <w:spacing w:after="0" w:line="240" w:lineRule="auto"/>
        <w:jc w:val="both"/>
        <w:rPr>
          <w:rFonts w:ascii="Calibri" w:hAnsi="Calibri" w:cs="Calibri"/>
          <w:color w:val="000000"/>
          <w:lang w:val="ro-RO"/>
        </w:rPr>
      </w:pPr>
    </w:p>
    <w:p w14:paraId="69E8B5B5" w14:textId="77777777" w:rsidR="005B382E" w:rsidRPr="001D7EE4" w:rsidRDefault="005B382E" w:rsidP="005B382E">
      <w:pPr>
        <w:spacing w:after="0" w:line="240" w:lineRule="auto"/>
        <w:jc w:val="both"/>
        <w:rPr>
          <w:rFonts w:ascii="Calibri" w:hAnsi="Calibri" w:cs="Calibri"/>
          <w:color w:val="000000"/>
          <w:lang w:val="ro-RO"/>
        </w:rPr>
      </w:pPr>
    </w:p>
    <w:p w14:paraId="1F8FCB61" w14:textId="77777777" w:rsidR="005B382E" w:rsidRPr="001D7EE4" w:rsidRDefault="005B382E" w:rsidP="005B382E">
      <w:pPr>
        <w:spacing w:after="0" w:line="240" w:lineRule="auto"/>
        <w:jc w:val="both"/>
        <w:rPr>
          <w:rFonts w:cstheme="minorHAnsi"/>
          <w:i/>
          <w:color w:val="365F91" w:themeColor="accent1" w:themeShade="BF"/>
          <w:sz w:val="44"/>
          <w:szCs w:val="44"/>
          <w:lang w:val="ro-RO"/>
        </w:rPr>
      </w:pPr>
      <w:r w:rsidRPr="001D7EE4">
        <w:rPr>
          <w:rFonts w:ascii="Calibri" w:hAnsi="Calibri" w:cs="Calibri"/>
          <w:i/>
          <w:color w:val="000000"/>
          <w:lang w:val="ro-RO"/>
        </w:rPr>
        <w:t>Conform datelor oficiale disponibile, raportul dintre femei și bărbați în rândul angajatorilor este de 1 la 4 (respectiv 26,9% femei și 73,1% bărbați), indiferent de forma de proprietate a unității pe care o conduc. În funcție de mărimea unității, se constată că femeile se regăsesc</w:t>
      </w:r>
      <w:r>
        <w:rPr>
          <w:rFonts w:ascii="Calibri" w:hAnsi="Calibri" w:cs="Calibri"/>
          <w:i/>
          <w:color w:val="000000"/>
          <w:lang w:val="ro-RO"/>
        </w:rPr>
        <w:t xml:space="preserve"> </w:t>
      </w:r>
      <w:r w:rsidRPr="001D7EE4">
        <w:rPr>
          <w:rFonts w:ascii="Calibri" w:hAnsi="Calibri" w:cs="Calibri"/>
          <w:i/>
          <w:color w:val="000000"/>
          <w:lang w:val="ro-RO"/>
        </w:rPr>
        <w:t xml:space="preserve"> mai </w:t>
      </w:r>
      <w:r>
        <w:rPr>
          <w:rFonts w:ascii="Calibri" w:hAnsi="Calibri" w:cs="Calibri"/>
          <w:i/>
          <w:color w:val="000000"/>
          <w:lang w:val="ro-RO"/>
        </w:rPr>
        <w:t>frecvent</w:t>
      </w:r>
      <w:r w:rsidRPr="001D7EE4">
        <w:rPr>
          <w:rFonts w:ascii="Calibri" w:hAnsi="Calibri" w:cs="Calibri"/>
          <w:i/>
          <w:color w:val="000000"/>
          <w:lang w:val="ro-RO"/>
        </w:rPr>
        <w:t xml:space="preserve"> în calitate de conducători ai întreprinderilor micro (31,5%) și ale celor mijlocii (24,7%). Întreprinderile cu peste 100 de salariați sunt conduse de femei în proporție de 18%. Totodată, femeile sunt proprietare a doar 25% din întreprinderile Republicii Moldova și doar 65% dintre ele se află în poziție de top manager, comparativ cu 99% în cazul bărbaților proprietari</w:t>
      </w:r>
      <w:r w:rsidRPr="001D7EE4">
        <w:rPr>
          <w:rStyle w:val="FootnoteReference"/>
          <w:rFonts w:ascii="Calibri" w:hAnsi="Calibri" w:cs="Calibri"/>
          <w:i/>
          <w:color w:val="000000"/>
          <w:lang w:val="ro-RO"/>
        </w:rPr>
        <w:footnoteReference w:id="9"/>
      </w:r>
      <w:r w:rsidRPr="001D7EE4">
        <w:rPr>
          <w:rFonts w:ascii="Calibri" w:hAnsi="Calibri" w:cs="Calibri"/>
          <w:i/>
          <w:color w:val="000000"/>
          <w:lang w:val="ro-RO"/>
        </w:rPr>
        <w:t xml:space="preserve">. </w:t>
      </w:r>
    </w:p>
    <w:p w14:paraId="6A7A0DEB" w14:textId="77777777" w:rsidR="005B382E" w:rsidRPr="001D7EE4" w:rsidRDefault="005B382E" w:rsidP="005B382E">
      <w:pPr>
        <w:spacing w:after="0" w:line="240" w:lineRule="auto"/>
        <w:jc w:val="both"/>
        <w:rPr>
          <w:rFonts w:cstheme="minorHAnsi"/>
          <w:b/>
          <w:lang w:val="ro-RO"/>
        </w:rPr>
      </w:pPr>
    </w:p>
    <w:p w14:paraId="6774EDB9" w14:textId="77777777" w:rsidR="005B382E" w:rsidRPr="001D7EE4" w:rsidRDefault="005B382E" w:rsidP="005B382E">
      <w:pPr>
        <w:spacing w:after="0" w:line="240" w:lineRule="auto"/>
        <w:jc w:val="both"/>
        <w:rPr>
          <w:rFonts w:cstheme="minorHAnsi"/>
          <w:b/>
          <w:lang w:val="ro-RO"/>
        </w:rPr>
      </w:pPr>
    </w:p>
    <w:p w14:paraId="647B3F72" w14:textId="20EC3385" w:rsidR="005B382E" w:rsidRDefault="005B382E" w:rsidP="00815485">
      <w:pPr>
        <w:spacing w:after="0" w:line="240" w:lineRule="auto"/>
        <w:jc w:val="both"/>
        <w:rPr>
          <w:rFonts w:cstheme="minorHAnsi"/>
          <w:b/>
          <w:lang w:val="ro-RO"/>
        </w:rPr>
      </w:pPr>
      <w:r w:rsidRPr="001D7EE4">
        <w:rPr>
          <w:rFonts w:cstheme="minorHAnsi"/>
          <w:b/>
          <w:lang w:val="ro-RO"/>
        </w:rPr>
        <w:t>SOLICITĂM:</w:t>
      </w:r>
    </w:p>
    <w:p w14:paraId="20813994" w14:textId="77777777" w:rsidR="00815485" w:rsidRPr="00815485" w:rsidRDefault="00815485" w:rsidP="00815485">
      <w:pPr>
        <w:spacing w:after="0" w:line="240" w:lineRule="auto"/>
        <w:jc w:val="both"/>
        <w:rPr>
          <w:rFonts w:cstheme="minorHAnsi"/>
          <w:b/>
          <w:lang w:val="ro-RO"/>
        </w:rPr>
      </w:pPr>
    </w:p>
    <w:p w14:paraId="673DDEC4" w14:textId="77777777" w:rsidR="005B382E" w:rsidRPr="001D7EE4" w:rsidRDefault="005B382E" w:rsidP="005B382E">
      <w:pPr>
        <w:spacing w:after="0" w:line="240" w:lineRule="auto"/>
        <w:jc w:val="both"/>
        <w:rPr>
          <w:rFonts w:cstheme="minorHAnsi"/>
          <w:lang w:val="ro-RO"/>
        </w:rPr>
      </w:pPr>
      <w:r w:rsidRPr="001D7EE4">
        <w:rPr>
          <w:rFonts w:cstheme="minorHAnsi"/>
          <w:b/>
          <w:lang w:val="ro-RO"/>
        </w:rPr>
        <w:t xml:space="preserve">1. Colectarea și analiza datelor </w:t>
      </w:r>
      <w:r>
        <w:rPr>
          <w:rFonts w:cstheme="minorHAnsi"/>
          <w:b/>
          <w:lang w:val="ro-RO"/>
        </w:rPr>
        <w:t xml:space="preserve">statistice </w:t>
      </w:r>
      <w:r w:rsidRPr="001D7EE4">
        <w:rPr>
          <w:rFonts w:cstheme="minorHAnsi"/>
          <w:b/>
          <w:lang w:val="ro-RO"/>
        </w:rPr>
        <w:t xml:space="preserve">despre </w:t>
      </w:r>
      <w:proofErr w:type="spellStart"/>
      <w:r w:rsidRPr="001D7EE4">
        <w:rPr>
          <w:rFonts w:cstheme="minorHAnsi"/>
          <w:b/>
          <w:lang w:val="ro-RO"/>
        </w:rPr>
        <w:t>antreprenoriatul</w:t>
      </w:r>
      <w:proofErr w:type="spellEnd"/>
      <w:r w:rsidRPr="001D7EE4">
        <w:rPr>
          <w:rFonts w:cstheme="minorHAnsi"/>
          <w:b/>
          <w:lang w:val="ro-RO"/>
        </w:rPr>
        <w:t xml:space="preserve"> în rândul femeilor. </w:t>
      </w:r>
      <w:r w:rsidRPr="001D7EE4">
        <w:rPr>
          <w:rFonts w:cstheme="minorHAnsi"/>
          <w:lang w:val="ro-RO"/>
        </w:rPr>
        <w:t>Lipsa datelor statistice</w:t>
      </w:r>
      <w:r w:rsidRPr="001D7EE4">
        <w:rPr>
          <w:rFonts w:cstheme="minorHAnsi"/>
          <w:i/>
          <w:lang w:val="ro-RO"/>
        </w:rPr>
        <w:t xml:space="preserve"> </w:t>
      </w:r>
      <w:r w:rsidRPr="001D7EE4">
        <w:rPr>
          <w:rFonts w:cstheme="minorHAnsi"/>
          <w:lang w:val="ro-RO"/>
        </w:rPr>
        <w:t xml:space="preserve">cu privire la nivelul de dezvoltare a </w:t>
      </w:r>
      <w:proofErr w:type="spellStart"/>
      <w:r w:rsidRPr="001D7EE4">
        <w:rPr>
          <w:rFonts w:cstheme="minorHAnsi"/>
          <w:lang w:val="ro-RO"/>
        </w:rPr>
        <w:t>antreprenoriatului</w:t>
      </w:r>
      <w:proofErr w:type="spellEnd"/>
      <w:r w:rsidRPr="001D7EE4">
        <w:rPr>
          <w:rFonts w:cstheme="minorHAnsi"/>
          <w:lang w:val="ro-RO"/>
        </w:rPr>
        <w:t xml:space="preserve"> feminin face dificilă analiza impactului politicilor de dezvoltare a IMM-urilor și programelor de suport a </w:t>
      </w:r>
      <w:proofErr w:type="spellStart"/>
      <w:r w:rsidRPr="001D7EE4">
        <w:rPr>
          <w:rFonts w:cstheme="minorHAnsi"/>
          <w:lang w:val="ro-RO"/>
        </w:rPr>
        <w:t>antreprenoriatului</w:t>
      </w:r>
      <w:proofErr w:type="spellEnd"/>
      <w:r w:rsidRPr="001D7EE4">
        <w:rPr>
          <w:rFonts w:cstheme="minorHAnsi"/>
          <w:lang w:val="ro-RO"/>
        </w:rPr>
        <w:t xml:space="preserve"> din Moldova. În acest sens, Biroul Național de Statistică trebuie să ajusteze toate formularele pentru a permite colectarea și analiza datelor cu privire la </w:t>
      </w:r>
      <w:proofErr w:type="spellStart"/>
      <w:r w:rsidRPr="001D7EE4">
        <w:rPr>
          <w:rFonts w:cstheme="minorHAnsi"/>
          <w:lang w:val="ro-RO"/>
        </w:rPr>
        <w:t>antreprenoriat</w:t>
      </w:r>
      <w:proofErr w:type="spellEnd"/>
      <w:r w:rsidRPr="001D7EE4">
        <w:rPr>
          <w:rFonts w:cstheme="minorHAnsi"/>
          <w:lang w:val="ro-RO"/>
        </w:rPr>
        <w:t xml:space="preserve"> din perspectiva de gen. </w:t>
      </w:r>
    </w:p>
    <w:p w14:paraId="4B97E3B0" w14:textId="77777777" w:rsidR="005B382E" w:rsidRPr="001D7EE4" w:rsidRDefault="005B382E" w:rsidP="005B382E">
      <w:pPr>
        <w:spacing w:after="0" w:line="240" w:lineRule="auto"/>
        <w:jc w:val="both"/>
        <w:rPr>
          <w:rFonts w:cstheme="minorHAnsi"/>
          <w:b/>
          <w:lang w:val="ro-RO"/>
        </w:rPr>
      </w:pPr>
    </w:p>
    <w:p w14:paraId="1D06B2A7" w14:textId="6BF7824F" w:rsidR="005B382E" w:rsidRPr="001D7EE4" w:rsidRDefault="005B382E" w:rsidP="005B382E">
      <w:pPr>
        <w:spacing w:after="0" w:line="240" w:lineRule="auto"/>
        <w:jc w:val="both"/>
        <w:rPr>
          <w:rFonts w:cstheme="minorHAnsi"/>
          <w:lang w:val="ro-RO"/>
        </w:rPr>
      </w:pPr>
      <w:r w:rsidRPr="001D7EE4">
        <w:rPr>
          <w:rFonts w:cstheme="minorHAnsi"/>
          <w:b/>
          <w:lang w:val="ro-RO"/>
        </w:rPr>
        <w:t xml:space="preserve">2. Următoarea Strategie cu privire la dezvoltarea IMM-urilor va prevedea un obiectiv </w:t>
      </w:r>
      <w:r>
        <w:rPr>
          <w:rFonts w:cstheme="minorHAnsi"/>
          <w:b/>
          <w:lang w:val="ro-RO"/>
        </w:rPr>
        <w:t>mai specific</w:t>
      </w:r>
      <w:r w:rsidRPr="001D7EE4">
        <w:rPr>
          <w:rFonts w:cstheme="minorHAnsi"/>
          <w:b/>
          <w:lang w:val="ro-RO"/>
        </w:rPr>
        <w:t xml:space="preserve"> cu referire la dezvolta</w:t>
      </w:r>
      <w:r w:rsidR="00815485">
        <w:rPr>
          <w:rFonts w:cstheme="minorHAnsi"/>
          <w:b/>
          <w:lang w:val="ro-RO"/>
        </w:rPr>
        <w:t xml:space="preserve">rea </w:t>
      </w:r>
      <w:proofErr w:type="spellStart"/>
      <w:r w:rsidR="00815485">
        <w:rPr>
          <w:rFonts w:cstheme="minorHAnsi"/>
          <w:b/>
          <w:lang w:val="ro-RO"/>
        </w:rPr>
        <w:t>antreprenoriatului</w:t>
      </w:r>
      <w:proofErr w:type="spellEnd"/>
      <w:r w:rsidR="00815485">
        <w:rPr>
          <w:rFonts w:cstheme="minorHAnsi"/>
          <w:b/>
          <w:lang w:val="ro-RO"/>
        </w:rPr>
        <w:t xml:space="preserve"> feminin. </w:t>
      </w:r>
      <w:r w:rsidRPr="001D7EE4">
        <w:rPr>
          <w:rFonts w:cstheme="minorHAnsi"/>
          <w:lang w:val="ro-RO"/>
        </w:rPr>
        <w:t xml:space="preserve">Aceasta </w:t>
      </w:r>
      <w:r>
        <w:rPr>
          <w:rFonts w:cstheme="minorHAnsi"/>
          <w:lang w:val="ro-RO"/>
        </w:rPr>
        <w:t>va</w:t>
      </w:r>
      <w:r w:rsidRPr="001D7EE4">
        <w:rPr>
          <w:rFonts w:cstheme="minorHAnsi"/>
          <w:lang w:val="ro-RO"/>
        </w:rPr>
        <w:t xml:space="preserve"> cuprind</w:t>
      </w:r>
      <w:r>
        <w:rPr>
          <w:rFonts w:cstheme="minorHAnsi"/>
          <w:lang w:val="ro-RO"/>
        </w:rPr>
        <w:t>e</w:t>
      </w:r>
      <w:r w:rsidRPr="001D7EE4">
        <w:rPr>
          <w:rFonts w:cstheme="minorHAnsi"/>
          <w:lang w:val="ro-RO"/>
        </w:rPr>
        <w:t xml:space="preserve"> un obiectiv mult mai specific</w:t>
      </w:r>
      <w:r>
        <w:rPr>
          <w:rFonts w:cstheme="minorHAnsi"/>
          <w:lang w:val="ro-RO"/>
        </w:rPr>
        <w:t xml:space="preserve"> </w:t>
      </w:r>
      <w:r w:rsidRPr="001D7EE4">
        <w:rPr>
          <w:rFonts w:cstheme="minorHAnsi"/>
          <w:lang w:val="ro-RO"/>
        </w:rPr>
        <w:t xml:space="preserve">privind dezvoltarea </w:t>
      </w:r>
      <w:proofErr w:type="spellStart"/>
      <w:r w:rsidRPr="001D7EE4">
        <w:rPr>
          <w:rFonts w:cstheme="minorHAnsi"/>
          <w:lang w:val="ro-RO"/>
        </w:rPr>
        <w:t>antreprenoriatului</w:t>
      </w:r>
      <w:proofErr w:type="spellEnd"/>
      <w:r w:rsidRPr="001D7EE4">
        <w:rPr>
          <w:rFonts w:cstheme="minorHAnsi"/>
          <w:lang w:val="ro-RO"/>
        </w:rPr>
        <w:t xml:space="preserve"> </w:t>
      </w:r>
      <w:r>
        <w:rPr>
          <w:rFonts w:cstheme="minorHAnsi"/>
          <w:lang w:val="ro-RO"/>
        </w:rPr>
        <w:t xml:space="preserve">feminin și va include </w:t>
      </w:r>
      <w:r w:rsidRPr="001D7EE4">
        <w:rPr>
          <w:rFonts w:cstheme="minorHAnsi"/>
          <w:lang w:val="ro-RO"/>
        </w:rPr>
        <w:t xml:space="preserve">măsuri specifice de sporire a accesului </w:t>
      </w:r>
      <w:r>
        <w:rPr>
          <w:rFonts w:cstheme="minorHAnsi"/>
          <w:lang w:val="ro-RO"/>
        </w:rPr>
        <w:t>femeilor</w:t>
      </w:r>
      <w:r w:rsidRPr="001D7EE4">
        <w:rPr>
          <w:rFonts w:cstheme="minorHAnsi"/>
          <w:lang w:val="ro-RO"/>
        </w:rPr>
        <w:t xml:space="preserve"> </w:t>
      </w:r>
      <w:r>
        <w:rPr>
          <w:rFonts w:cstheme="minorHAnsi"/>
          <w:lang w:val="ro-RO"/>
        </w:rPr>
        <w:t xml:space="preserve">la </w:t>
      </w:r>
      <w:r w:rsidRPr="001D7EE4">
        <w:rPr>
          <w:rFonts w:cstheme="minorHAnsi"/>
          <w:lang w:val="ro-RO"/>
        </w:rPr>
        <w:t>surse de finanțare</w:t>
      </w:r>
      <w:r>
        <w:rPr>
          <w:rFonts w:cstheme="minorHAnsi"/>
          <w:lang w:val="ro-RO"/>
        </w:rPr>
        <w:t xml:space="preserve"> (în special, creditare)</w:t>
      </w:r>
      <w:r w:rsidRPr="001D7EE4">
        <w:rPr>
          <w:rFonts w:cstheme="minorHAnsi"/>
          <w:lang w:val="ro-RO"/>
        </w:rPr>
        <w:t xml:space="preserve"> pentru dezvoltarea afaceri</w:t>
      </w:r>
      <w:r>
        <w:rPr>
          <w:rFonts w:cstheme="minorHAnsi"/>
          <w:lang w:val="ro-RO"/>
        </w:rPr>
        <w:t>lor</w:t>
      </w:r>
      <w:r w:rsidRPr="001D7EE4">
        <w:rPr>
          <w:rFonts w:cstheme="minorHAnsi"/>
          <w:lang w:val="ro-RO"/>
        </w:rPr>
        <w:t xml:space="preserve">, </w:t>
      </w:r>
      <w:r>
        <w:rPr>
          <w:rFonts w:cstheme="minorHAnsi"/>
          <w:lang w:val="ro-RO"/>
        </w:rPr>
        <w:t xml:space="preserve">pentru </w:t>
      </w:r>
      <w:r w:rsidRPr="001D7EE4">
        <w:rPr>
          <w:rFonts w:cstheme="minorHAnsi"/>
          <w:lang w:val="ro-RO"/>
        </w:rPr>
        <w:t>servicii de instruire și consultanță în afaceri.</w:t>
      </w:r>
    </w:p>
    <w:p w14:paraId="250070BC" w14:textId="77777777" w:rsidR="005B382E" w:rsidRPr="001D7EE4" w:rsidRDefault="005B382E" w:rsidP="005B382E">
      <w:pPr>
        <w:spacing w:after="0" w:line="240" w:lineRule="auto"/>
        <w:jc w:val="both"/>
        <w:rPr>
          <w:rFonts w:cstheme="minorHAnsi"/>
          <w:b/>
          <w:lang w:val="ro-RO"/>
        </w:rPr>
      </w:pPr>
    </w:p>
    <w:p w14:paraId="1CF19B64" w14:textId="77777777" w:rsidR="005B382E" w:rsidRDefault="005B382E" w:rsidP="005B382E">
      <w:pPr>
        <w:spacing w:after="0" w:line="240" w:lineRule="auto"/>
        <w:jc w:val="both"/>
        <w:rPr>
          <w:lang w:val="ro-RO"/>
        </w:rPr>
      </w:pPr>
      <w:r w:rsidRPr="001D7EE4">
        <w:rPr>
          <w:rFonts w:cstheme="minorHAnsi"/>
          <w:b/>
          <w:lang w:val="ro-RO"/>
        </w:rPr>
        <w:t>3. Guvernul</w:t>
      </w:r>
      <w:r>
        <w:rPr>
          <w:rFonts w:cstheme="minorHAnsi"/>
          <w:b/>
          <w:lang w:val="ro-RO"/>
        </w:rPr>
        <w:t xml:space="preserve"> să își asume</w:t>
      </w:r>
      <w:r w:rsidRPr="001D7EE4">
        <w:rPr>
          <w:rFonts w:cstheme="minorHAnsi"/>
          <w:b/>
          <w:lang w:val="ro-RO"/>
        </w:rPr>
        <w:t xml:space="preserve"> până în anul 2021, femeile să beneficieze de cel puțin </w:t>
      </w:r>
      <w:r>
        <w:rPr>
          <w:rFonts w:cstheme="minorHAnsi"/>
          <w:b/>
          <w:lang w:val="ro-RO"/>
        </w:rPr>
        <w:t>4</w:t>
      </w:r>
      <w:r w:rsidRPr="001D7EE4">
        <w:rPr>
          <w:rFonts w:cstheme="minorHAnsi"/>
          <w:b/>
          <w:lang w:val="ro-RO"/>
        </w:rPr>
        <w:t xml:space="preserve">0% din toate resursele destinate dezvoltării </w:t>
      </w:r>
      <w:proofErr w:type="spellStart"/>
      <w:r w:rsidRPr="001D7EE4">
        <w:rPr>
          <w:rFonts w:cstheme="minorHAnsi"/>
          <w:b/>
          <w:lang w:val="ro-RO"/>
        </w:rPr>
        <w:t>antreprenoriatului</w:t>
      </w:r>
      <w:proofErr w:type="spellEnd"/>
      <w:r w:rsidRPr="001D7EE4">
        <w:rPr>
          <w:rFonts w:cstheme="minorHAnsi"/>
          <w:b/>
          <w:lang w:val="ro-RO"/>
        </w:rPr>
        <w:t xml:space="preserve"> în Moldova (inclusiv subvențiile). </w:t>
      </w:r>
      <w:r w:rsidRPr="001D7EE4">
        <w:rPr>
          <w:lang w:val="ro-RO"/>
        </w:rPr>
        <w:t>Principalele programe de suport ale sectorului, finanțate de stat și/sau de partenerii de dezvoltare, precum și liniile de creditare ale instituțiilor financiare internaționale/ sau acordate în cadrul unor programe internaționale, vor asigura</w:t>
      </w:r>
      <w:r>
        <w:rPr>
          <w:lang w:val="ro-RO"/>
        </w:rPr>
        <w:t xml:space="preserve"> creșterea anuală a cuantumului resurselor financiare accesate de către femei, astfel încât până în 2021 acestea să beneficieze de cel puțin 40% din resursele financiare alocate.</w:t>
      </w:r>
    </w:p>
    <w:p w14:paraId="7BE2FC8D" w14:textId="77777777" w:rsidR="005B382E" w:rsidRPr="001D7EE4" w:rsidRDefault="005B382E" w:rsidP="005B382E">
      <w:pPr>
        <w:spacing w:after="0" w:line="240" w:lineRule="auto"/>
        <w:jc w:val="both"/>
        <w:rPr>
          <w:rFonts w:cstheme="minorHAnsi"/>
          <w:b/>
          <w:lang w:val="ro-RO"/>
        </w:rPr>
      </w:pPr>
    </w:p>
    <w:p w14:paraId="4DFFBA63" w14:textId="77777777" w:rsidR="005B382E" w:rsidRDefault="005B382E" w:rsidP="005B382E">
      <w:pPr>
        <w:spacing w:after="0" w:line="240" w:lineRule="auto"/>
        <w:jc w:val="both"/>
        <w:rPr>
          <w:rFonts w:cstheme="minorHAnsi"/>
          <w:iCs/>
          <w:lang w:val="ro-RO"/>
        </w:rPr>
      </w:pPr>
      <w:r>
        <w:rPr>
          <w:rFonts w:cstheme="minorHAnsi"/>
          <w:b/>
          <w:lang w:val="ro-RO"/>
        </w:rPr>
        <w:t xml:space="preserve">4. Creșterea </w:t>
      </w:r>
      <w:r w:rsidRPr="001D7EE4">
        <w:rPr>
          <w:rFonts w:cstheme="minorHAnsi"/>
          <w:b/>
          <w:lang w:val="ro-RO"/>
        </w:rPr>
        <w:t>finanțării Programului ”Femei în Afaceri”</w:t>
      </w:r>
      <w:r>
        <w:rPr>
          <w:rFonts w:cstheme="minorHAnsi"/>
          <w:b/>
          <w:lang w:val="ro-RO"/>
        </w:rPr>
        <w:t xml:space="preserve"> de la 51,5 la 200 milioane în 2021.</w:t>
      </w:r>
      <w:r w:rsidRPr="001D7EE4">
        <w:rPr>
          <w:rFonts w:cstheme="minorHAnsi"/>
          <w:b/>
          <w:lang w:val="ro-RO"/>
        </w:rPr>
        <w:t xml:space="preserve"> </w:t>
      </w:r>
      <w:r w:rsidRPr="001D7EE4">
        <w:rPr>
          <w:rFonts w:cstheme="minorHAnsi"/>
          <w:iCs/>
          <w:lang w:val="ro-RO"/>
        </w:rPr>
        <w:t xml:space="preserve">În anul 2016, Guvernul Republicii Moldova a lansat Programul ”Femei în Afaceri”. Perioada de implementare a programului este de 3 ani, fiind alocate din bugetul statului 51,5 milioane de lei. Finanțarea programului pentru următorii 3 ani trebuie triplată anual, crescând de la 51,5 milioane la 200 de milioane lei. </w:t>
      </w:r>
    </w:p>
    <w:p w14:paraId="669E49E5" w14:textId="77777777" w:rsidR="005B382E" w:rsidRDefault="005B382E" w:rsidP="005B382E">
      <w:pPr>
        <w:spacing w:after="0" w:line="240" w:lineRule="auto"/>
        <w:jc w:val="both"/>
        <w:rPr>
          <w:rFonts w:cstheme="minorHAnsi"/>
          <w:iCs/>
          <w:lang w:val="ro-RO"/>
        </w:rPr>
      </w:pPr>
    </w:p>
    <w:p w14:paraId="6185BF8A" w14:textId="77777777" w:rsidR="005B382E" w:rsidRDefault="005B382E" w:rsidP="005B382E">
      <w:pPr>
        <w:spacing w:after="0" w:line="240" w:lineRule="auto"/>
        <w:jc w:val="both"/>
        <w:rPr>
          <w:rFonts w:cstheme="minorHAnsi"/>
          <w:iCs/>
          <w:lang w:val="ro-RO"/>
        </w:rPr>
      </w:pPr>
      <w:r w:rsidRPr="00A4157D">
        <w:rPr>
          <w:rFonts w:cstheme="minorHAnsi"/>
          <w:b/>
          <w:iCs/>
          <w:lang w:val="ro-RO"/>
        </w:rPr>
        <w:t>5.</w:t>
      </w:r>
      <w:r>
        <w:rPr>
          <w:rFonts w:cstheme="minorHAnsi"/>
          <w:iCs/>
          <w:lang w:val="ro-RO"/>
        </w:rPr>
        <w:t xml:space="preserve"> </w:t>
      </w:r>
      <w:r w:rsidRPr="00CD13AF">
        <w:rPr>
          <w:rFonts w:cstheme="minorHAnsi"/>
          <w:b/>
          <w:iCs/>
          <w:lang w:val="ro-RO"/>
        </w:rPr>
        <w:t>Consolidarea organizațiilor din domeniu.</w:t>
      </w:r>
      <w:r>
        <w:rPr>
          <w:rFonts w:cstheme="minorHAnsi"/>
          <w:iCs/>
          <w:lang w:val="ro-RO"/>
        </w:rPr>
        <w:t xml:space="preserve"> Programele de dezvoltare a </w:t>
      </w:r>
      <w:proofErr w:type="spellStart"/>
      <w:r>
        <w:rPr>
          <w:rFonts w:cstheme="minorHAnsi"/>
          <w:iCs/>
          <w:lang w:val="ro-RO"/>
        </w:rPr>
        <w:t>antreprenoriatului</w:t>
      </w:r>
      <w:proofErr w:type="spellEnd"/>
      <w:r>
        <w:rPr>
          <w:rFonts w:cstheme="minorHAnsi"/>
          <w:iCs/>
          <w:lang w:val="ro-RO"/>
        </w:rPr>
        <w:t xml:space="preserve"> urmează să-și stabilească drept țintă asigurarea cooperării între organizațiile beneficiare, precum și consultarea rețelelor si organizațiilor create de femeile antreprenoare în elaborarea de politici și programe de dezvoltare a sectorului. </w:t>
      </w:r>
    </w:p>
    <w:p w14:paraId="6311F9CE" w14:textId="77777777" w:rsidR="005B382E" w:rsidRPr="001D7EE4" w:rsidRDefault="005B382E" w:rsidP="005B382E">
      <w:pPr>
        <w:spacing w:after="0" w:line="240" w:lineRule="auto"/>
        <w:jc w:val="both"/>
        <w:rPr>
          <w:rFonts w:cstheme="minorHAnsi"/>
          <w:iCs/>
          <w:lang w:val="ro-RO"/>
        </w:rPr>
      </w:pPr>
    </w:p>
    <w:p w14:paraId="43A94A86" w14:textId="77777777" w:rsidR="005B382E" w:rsidRPr="001D7EE4" w:rsidRDefault="005B382E" w:rsidP="005B382E">
      <w:pPr>
        <w:spacing w:after="0" w:line="240" w:lineRule="auto"/>
        <w:jc w:val="both"/>
        <w:rPr>
          <w:rFonts w:cstheme="minorHAnsi"/>
          <w:iCs/>
          <w:lang w:val="ro-RO"/>
        </w:rPr>
      </w:pPr>
    </w:p>
    <w:p w14:paraId="509CC5BA" w14:textId="77777777" w:rsidR="005B382E" w:rsidRPr="00BD4C07" w:rsidRDefault="005B382E" w:rsidP="005B382E">
      <w:pPr>
        <w:rPr>
          <w:lang w:val="ro-RO"/>
        </w:rPr>
      </w:pPr>
    </w:p>
    <w:p w14:paraId="4EB82032" w14:textId="77777777" w:rsidR="00FC693A" w:rsidRPr="004C6275" w:rsidRDefault="00FC693A" w:rsidP="00FC693A">
      <w:pPr>
        <w:spacing w:after="0" w:line="240" w:lineRule="auto"/>
        <w:jc w:val="both"/>
        <w:rPr>
          <w:rFonts w:cstheme="minorHAnsi"/>
          <w:iCs/>
          <w:lang w:val="ro-RO"/>
        </w:rPr>
      </w:pPr>
    </w:p>
    <w:p w14:paraId="08B7ED24" w14:textId="77777777" w:rsidR="00FC693A" w:rsidRPr="004C6275" w:rsidRDefault="00FC693A" w:rsidP="00FC693A">
      <w:pPr>
        <w:spacing w:after="0" w:line="240" w:lineRule="auto"/>
        <w:jc w:val="both"/>
        <w:rPr>
          <w:rFonts w:ascii="Calibri Light" w:hAnsi="Calibri Light" w:cstheme="minorHAnsi"/>
          <w:b/>
          <w:color w:val="1F497D" w:themeColor="text2"/>
          <w:sz w:val="36"/>
          <w:szCs w:val="44"/>
          <w:lang w:val="ro-RO"/>
        </w:rPr>
      </w:pPr>
    </w:p>
    <w:p w14:paraId="131142CA" w14:textId="77777777" w:rsidR="00FC693A" w:rsidRPr="004C6275" w:rsidRDefault="00FC693A" w:rsidP="00FC693A">
      <w:pPr>
        <w:spacing w:after="0" w:line="240" w:lineRule="auto"/>
        <w:jc w:val="both"/>
        <w:rPr>
          <w:rFonts w:ascii="Calibri Light" w:hAnsi="Calibri Light" w:cstheme="minorHAnsi"/>
          <w:b/>
          <w:color w:val="1F497D" w:themeColor="text2"/>
          <w:sz w:val="36"/>
          <w:szCs w:val="44"/>
          <w:lang w:val="ro-RO"/>
        </w:rPr>
      </w:pPr>
    </w:p>
    <w:p w14:paraId="76A303B3" w14:textId="5828A277" w:rsidR="00D957D7" w:rsidRDefault="00D957D7" w:rsidP="004D18A5">
      <w:pPr>
        <w:spacing w:after="0" w:line="240" w:lineRule="auto"/>
        <w:jc w:val="both"/>
        <w:rPr>
          <w:rFonts w:ascii="Calibri Light" w:hAnsi="Calibri Light" w:cstheme="minorHAnsi"/>
          <w:b/>
          <w:color w:val="244061" w:themeColor="accent1" w:themeShade="80"/>
          <w:sz w:val="36"/>
          <w:szCs w:val="44"/>
          <w:lang w:val="ro-RO"/>
        </w:rPr>
      </w:pPr>
    </w:p>
    <w:p w14:paraId="1AD43203" w14:textId="7A2EF612" w:rsidR="00A04B68" w:rsidRPr="00D957D7" w:rsidRDefault="00A04B68" w:rsidP="004D18A5">
      <w:pPr>
        <w:spacing w:after="0" w:line="240" w:lineRule="auto"/>
        <w:jc w:val="both"/>
        <w:rPr>
          <w:rFonts w:ascii="Calibri Light" w:hAnsi="Calibri Light" w:cstheme="minorHAnsi"/>
          <w:b/>
          <w:color w:val="244061" w:themeColor="accent1" w:themeShade="80"/>
          <w:sz w:val="36"/>
          <w:szCs w:val="44"/>
          <w:lang w:val="ro-RO"/>
        </w:rPr>
      </w:pPr>
      <w:r w:rsidRPr="00D957D7">
        <w:rPr>
          <w:rFonts w:ascii="Calibri Light" w:hAnsi="Calibri Light" w:cstheme="minorHAnsi"/>
          <w:b/>
          <w:color w:val="244061" w:themeColor="accent1" w:themeShade="80"/>
          <w:sz w:val="36"/>
          <w:szCs w:val="44"/>
          <w:lang w:val="ro-RO"/>
        </w:rPr>
        <w:t>INSTITUȚII CARE PROMOVEAZĂ EGALITATEA</w:t>
      </w:r>
    </w:p>
    <w:p w14:paraId="33388668" w14:textId="591DF5CD" w:rsidR="004D18A5" w:rsidRDefault="004D18A5" w:rsidP="004D18A5">
      <w:pPr>
        <w:spacing w:after="0" w:line="240" w:lineRule="auto"/>
        <w:jc w:val="both"/>
        <w:rPr>
          <w:i/>
          <w:lang w:val="ro-RO"/>
        </w:rPr>
      </w:pPr>
    </w:p>
    <w:p w14:paraId="6D6BA7FD" w14:textId="77777777" w:rsidR="00D957D7" w:rsidRPr="004C6275" w:rsidRDefault="00D957D7" w:rsidP="004D18A5">
      <w:pPr>
        <w:spacing w:after="0" w:line="240" w:lineRule="auto"/>
        <w:jc w:val="both"/>
        <w:rPr>
          <w:i/>
          <w:lang w:val="ro-RO"/>
        </w:rPr>
      </w:pPr>
    </w:p>
    <w:p w14:paraId="598F647F" w14:textId="4D2645A5" w:rsidR="00BD250B" w:rsidRPr="004C6275" w:rsidRDefault="00C5090B" w:rsidP="004D18A5">
      <w:pPr>
        <w:spacing w:after="0" w:line="240" w:lineRule="auto"/>
        <w:jc w:val="both"/>
        <w:rPr>
          <w:i/>
          <w:lang w:val="ro-RO"/>
        </w:rPr>
      </w:pPr>
      <w:r w:rsidRPr="004C6275">
        <w:rPr>
          <w:i/>
          <w:lang w:val="ro-RO"/>
        </w:rPr>
        <w:t>Majoritatea politicilor publice</w:t>
      </w:r>
      <w:r w:rsidR="002C4290" w:rsidRPr="004C6275">
        <w:rPr>
          <w:i/>
          <w:lang w:val="ro-RO"/>
        </w:rPr>
        <w:t xml:space="preserve"> sunt adoptate fără a ține cont de perspectiva egalității de gen. Printre cele mai mari provocări în acest sens sunt: (</w:t>
      </w:r>
      <w:r w:rsidR="00515388" w:rsidRPr="004C6275">
        <w:rPr>
          <w:i/>
          <w:lang w:val="ro-RO"/>
        </w:rPr>
        <w:t>i</w:t>
      </w:r>
      <w:r w:rsidR="002C4290" w:rsidRPr="004C6275">
        <w:rPr>
          <w:i/>
          <w:lang w:val="ro-RO"/>
        </w:rPr>
        <w:t>) gradul redus de responsabilitate a agențiilor/ instituțiilor publice pentru realizarea egalității de gen</w:t>
      </w:r>
      <w:r w:rsidR="00696C1B" w:rsidRPr="004C6275">
        <w:rPr>
          <w:i/>
          <w:lang w:val="ro-RO"/>
        </w:rPr>
        <w:t>;</w:t>
      </w:r>
      <w:r w:rsidR="002C4290" w:rsidRPr="004C6275">
        <w:rPr>
          <w:i/>
          <w:lang w:val="ro-RO"/>
        </w:rPr>
        <w:t xml:space="preserve"> (</w:t>
      </w:r>
      <w:r w:rsidR="00515388" w:rsidRPr="004C6275">
        <w:rPr>
          <w:i/>
          <w:lang w:val="ro-RO"/>
        </w:rPr>
        <w:t>ii</w:t>
      </w:r>
      <w:r w:rsidR="002C4290" w:rsidRPr="004C6275">
        <w:rPr>
          <w:i/>
          <w:lang w:val="ro-RO"/>
        </w:rPr>
        <w:t>)</w:t>
      </w:r>
      <w:r w:rsidR="00FA1BE3" w:rsidRPr="004C6275">
        <w:rPr>
          <w:i/>
          <w:lang w:val="ro-RO"/>
        </w:rPr>
        <w:t xml:space="preserve"> </w:t>
      </w:r>
      <w:r w:rsidR="002C4290" w:rsidRPr="004C6275">
        <w:rPr>
          <w:i/>
          <w:lang w:val="ro-RO"/>
        </w:rPr>
        <w:t>capacitate</w:t>
      </w:r>
      <w:r w:rsidR="00FA1BE3" w:rsidRPr="004C6275">
        <w:rPr>
          <w:i/>
          <w:lang w:val="ro-RO"/>
        </w:rPr>
        <w:t>a</w:t>
      </w:r>
      <w:r w:rsidR="002C4290" w:rsidRPr="004C6275">
        <w:rPr>
          <w:i/>
          <w:lang w:val="ro-RO"/>
        </w:rPr>
        <w:t xml:space="preserve"> redusă de a înțelege</w:t>
      </w:r>
      <w:r w:rsidR="00FA1BE3" w:rsidRPr="004C6275">
        <w:rPr>
          <w:i/>
          <w:lang w:val="ro-RO"/>
        </w:rPr>
        <w:t xml:space="preserve"> </w:t>
      </w:r>
      <w:r w:rsidR="002C4290" w:rsidRPr="004C6275">
        <w:rPr>
          <w:i/>
          <w:lang w:val="ro-RO"/>
        </w:rPr>
        <w:t>și a formula diferite opțiuni de politic</w:t>
      </w:r>
      <w:r w:rsidR="00FA1BE3" w:rsidRPr="004C6275">
        <w:rPr>
          <w:i/>
          <w:lang w:val="ro-RO"/>
        </w:rPr>
        <w:t>i</w:t>
      </w:r>
      <w:r w:rsidR="002C4290" w:rsidRPr="004C6275">
        <w:rPr>
          <w:i/>
          <w:lang w:val="ro-RO"/>
        </w:rPr>
        <w:t xml:space="preserve"> pot avea impact diferit </w:t>
      </w:r>
      <w:r w:rsidR="00FA1BE3" w:rsidRPr="004C6275">
        <w:rPr>
          <w:i/>
          <w:lang w:val="ro-RO"/>
        </w:rPr>
        <w:t xml:space="preserve">asupra </w:t>
      </w:r>
      <w:r w:rsidR="002C4290" w:rsidRPr="004C6275">
        <w:rPr>
          <w:i/>
          <w:lang w:val="ro-RO"/>
        </w:rPr>
        <w:t>femei</w:t>
      </w:r>
      <w:r w:rsidR="00FA1BE3" w:rsidRPr="004C6275">
        <w:rPr>
          <w:i/>
          <w:lang w:val="ro-RO"/>
        </w:rPr>
        <w:t>lor</w:t>
      </w:r>
      <w:r w:rsidR="002C4290" w:rsidRPr="004C6275">
        <w:rPr>
          <w:i/>
          <w:lang w:val="ro-RO"/>
        </w:rPr>
        <w:t xml:space="preserve"> și</w:t>
      </w:r>
      <w:r w:rsidR="00FA1BE3" w:rsidRPr="004C6275">
        <w:rPr>
          <w:i/>
          <w:lang w:val="ro-RO"/>
        </w:rPr>
        <w:t xml:space="preserve"> </w:t>
      </w:r>
      <w:r w:rsidR="002C4290" w:rsidRPr="004C6275">
        <w:rPr>
          <w:i/>
          <w:lang w:val="ro-RO"/>
        </w:rPr>
        <w:t>bărbați</w:t>
      </w:r>
      <w:r w:rsidR="00FA1BE3" w:rsidRPr="004C6275">
        <w:rPr>
          <w:i/>
          <w:lang w:val="ro-RO"/>
        </w:rPr>
        <w:t>lo</w:t>
      </w:r>
      <w:r w:rsidR="002E43D0" w:rsidRPr="004C6275">
        <w:rPr>
          <w:i/>
          <w:lang w:val="ro-RO"/>
        </w:rPr>
        <w:t>r</w:t>
      </w:r>
      <w:r w:rsidR="00696C1B" w:rsidRPr="004C6275">
        <w:rPr>
          <w:i/>
          <w:lang w:val="ro-RO"/>
        </w:rPr>
        <w:t>;</w:t>
      </w:r>
      <w:r w:rsidR="002C4290" w:rsidRPr="004C6275">
        <w:rPr>
          <w:i/>
          <w:lang w:val="ro-RO"/>
        </w:rPr>
        <w:t xml:space="preserve"> (</w:t>
      </w:r>
      <w:r w:rsidR="00515388" w:rsidRPr="004C6275">
        <w:rPr>
          <w:i/>
          <w:lang w:val="ro-RO"/>
        </w:rPr>
        <w:t>iii</w:t>
      </w:r>
      <w:r w:rsidR="002C4290" w:rsidRPr="004C6275">
        <w:rPr>
          <w:i/>
          <w:lang w:val="ro-RO"/>
        </w:rPr>
        <w:t>) un mecanism foarte slab de monitorizare și responsabilizare a instituțiilor publice pentru realizarea egalității de gen.</w:t>
      </w:r>
    </w:p>
    <w:p w14:paraId="6D0F39F2" w14:textId="77777777" w:rsidR="00BD250B" w:rsidRPr="004C6275" w:rsidRDefault="00BD250B" w:rsidP="00920DAB">
      <w:pPr>
        <w:spacing w:after="0" w:line="240" w:lineRule="auto"/>
        <w:jc w:val="both"/>
        <w:rPr>
          <w:rFonts w:cstheme="minorHAnsi"/>
          <w:b/>
          <w:lang w:val="ro-RO"/>
        </w:rPr>
      </w:pPr>
    </w:p>
    <w:p w14:paraId="7C2EE2A2" w14:textId="77777777" w:rsidR="00BD250B" w:rsidRPr="004C6275" w:rsidRDefault="000E02BE" w:rsidP="000E02BE">
      <w:pPr>
        <w:spacing w:line="240" w:lineRule="auto"/>
        <w:jc w:val="both"/>
        <w:rPr>
          <w:rFonts w:cstheme="minorHAnsi"/>
          <w:b/>
          <w:lang w:val="ro-RO"/>
        </w:rPr>
      </w:pPr>
      <w:r w:rsidRPr="004C6275">
        <w:rPr>
          <w:rFonts w:cstheme="minorHAnsi"/>
          <w:b/>
          <w:lang w:val="ro-RO"/>
        </w:rPr>
        <w:t>SOLICITĂM:</w:t>
      </w:r>
    </w:p>
    <w:p w14:paraId="2DB96C72" w14:textId="33B53892" w:rsidR="00920DAB" w:rsidRPr="004C6275" w:rsidRDefault="00EA2C77" w:rsidP="00EA2C77">
      <w:pPr>
        <w:spacing w:after="0" w:line="240" w:lineRule="auto"/>
        <w:jc w:val="both"/>
        <w:rPr>
          <w:rFonts w:cstheme="minorHAnsi"/>
          <w:b/>
          <w:lang w:val="ro-RO"/>
        </w:rPr>
      </w:pPr>
      <w:r w:rsidRPr="004C6275">
        <w:rPr>
          <w:rFonts w:cstheme="minorHAnsi"/>
          <w:b/>
          <w:lang w:val="ro-RO"/>
        </w:rPr>
        <w:t xml:space="preserve">1. </w:t>
      </w:r>
      <w:r w:rsidR="006B6C96" w:rsidRPr="004C6275">
        <w:rPr>
          <w:rFonts w:cstheme="minorHAnsi"/>
          <w:b/>
          <w:lang w:val="ro-RO"/>
        </w:rPr>
        <w:t xml:space="preserve">Instituirea în fiecare </w:t>
      </w:r>
      <w:r w:rsidR="00F9151C" w:rsidRPr="004C6275">
        <w:rPr>
          <w:rFonts w:cstheme="minorHAnsi"/>
          <w:b/>
          <w:lang w:val="ro-RO"/>
        </w:rPr>
        <w:t>m</w:t>
      </w:r>
      <w:r w:rsidR="006B6C96" w:rsidRPr="004C6275">
        <w:rPr>
          <w:rFonts w:cstheme="minorHAnsi"/>
          <w:b/>
          <w:lang w:val="ro-RO"/>
        </w:rPr>
        <w:t>inister a u</w:t>
      </w:r>
      <w:r w:rsidRPr="004C6275">
        <w:rPr>
          <w:rFonts w:cstheme="minorHAnsi"/>
          <w:b/>
          <w:lang w:val="ro-RO"/>
        </w:rPr>
        <w:t>nități</w:t>
      </w:r>
      <w:r w:rsidR="006B6C96" w:rsidRPr="004C6275">
        <w:rPr>
          <w:rFonts w:cstheme="minorHAnsi"/>
          <w:b/>
          <w:lang w:val="ro-RO"/>
        </w:rPr>
        <w:t>lor</w:t>
      </w:r>
      <w:r w:rsidRPr="004C6275">
        <w:rPr>
          <w:rFonts w:cstheme="minorHAnsi"/>
          <w:b/>
          <w:lang w:val="ro-RO"/>
        </w:rPr>
        <w:t xml:space="preserve"> de gen. </w:t>
      </w:r>
      <w:r w:rsidR="002C4290" w:rsidRPr="004C6275">
        <w:rPr>
          <w:lang w:val="ro-RO"/>
        </w:rPr>
        <w:t>Acestea vo</w:t>
      </w:r>
      <w:r w:rsidR="00C5090B" w:rsidRPr="004C6275">
        <w:rPr>
          <w:lang w:val="ro-RO"/>
        </w:rPr>
        <w:t>r</w:t>
      </w:r>
      <w:r w:rsidR="002C4290" w:rsidRPr="004C6275">
        <w:rPr>
          <w:lang w:val="ro-RO"/>
        </w:rPr>
        <w:t xml:space="preserve"> activa cu normă deplină</w:t>
      </w:r>
      <w:r w:rsidR="00C5090B" w:rsidRPr="004C6275">
        <w:rPr>
          <w:lang w:val="ro-RO"/>
        </w:rPr>
        <w:t xml:space="preserve"> și vor </w:t>
      </w:r>
      <w:r w:rsidR="002C4290" w:rsidRPr="004C6275">
        <w:rPr>
          <w:lang w:val="ro-RO"/>
        </w:rPr>
        <w:t xml:space="preserve">avea sarcina principală de a integra principiul </w:t>
      </w:r>
      <w:r w:rsidR="00C34214" w:rsidRPr="004C6275">
        <w:rPr>
          <w:lang w:val="ro-RO"/>
        </w:rPr>
        <w:t>egalității</w:t>
      </w:r>
      <w:r w:rsidR="002C4290" w:rsidRPr="004C6275">
        <w:rPr>
          <w:lang w:val="ro-RO"/>
        </w:rPr>
        <w:t xml:space="preserve"> de gen în toate etapele ciclului de politici publice.</w:t>
      </w:r>
    </w:p>
    <w:p w14:paraId="3D82142D" w14:textId="77777777" w:rsidR="00EA2C77" w:rsidRPr="004C6275" w:rsidRDefault="00EA2C77" w:rsidP="00EA2C77">
      <w:pPr>
        <w:spacing w:after="0" w:line="240" w:lineRule="auto"/>
        <w:jc w:val="both"/>
        <w:rPr>
          <w:rFonts w:cstheme="minorHAnsi"/>
          <w:b/>
          <w:lang w:val="ro-RO"/>
        </w:rPr>
      </w:pPr>
    </w:p>
    <w:p w14:paraId="424CD61E" w14:textId="76A25951" w:rsidR="00EA2C77" w:rsidRPr="004C6275" w:rsidRDefault="00EA2C77" w:rsidP="00EA2C77">
      <w:pPr>
        <w:spacing w:after="0" w:line="240" w:lineRule="auto"/>
        <w:jc w:val="both"/>
        <w:rPr>
          <w:rFonts w:cstheme="minorHAnsi"/>
          <w:lang w:val="ro-RO"/>
        </w:rPr>
      </w:pPr>
      <w:r w:rsidRPr="004C6275">
        <w:rPr>
          <w:rFonts w:cstheme="minorHAnsi"/>
          <w:b/>
          <w:lang w:val="ro-RO"/>
        </w:rPr>
        <w:t xml:space="preserve">2. </w:t>
      </w:r>
      <w:r w:rsidR="004D18A5" w:rsidRPr="004C6275">
        <w:rPr>
          <w:rFonts w:cstheme="minorHAnsi"/>
          <w:b/>
          <w:lang w:val="ro-RO"/>
        </w:rPr>
        <w:t>Instituirea, prin lege, a obligației de a</w:t>
      </w:r>
      <w:r w:rsidRPr="004C6275">
        <w:rPr>
          <w:rFonts w:cstheme="minorHAnsi"/>
          <w:b/>
          <w:lang w:val="ro-RO"/>
        </w:rPr>
        <w:t>naliza</w:t>
      </w:r>
      <w:r w:rsidR="00FC36BD" w:rsidRPr="004C6275">
        <w:rPr>
          <w:rFonts w:cstheme="minorHAnsi"/>
          <w:b/>
          <w:lang w:val="ro-RO"/>
        </w:rPr>
        <w:t xml:space="preserve"> </w:t>
      </w:r>
      <w:r w:rsidR="004D18A5" w:rsidRPr="004C6275">
        <w:rPr>
          <w:rFonts w:cstheme="minorHAnsi"/>
          <w:b/>
          <w:lang w:val="ro-RO"/>
        </w:rPr>
        <w:t>impactul</w:t>
      </w:r>
      <w:r w:rsidRPr="004C6275">
        <w:rPr>
          <w:rFonts w:cstheme="minorHAnsi"/>
          <w:b/>
          <w:lang w:val="ro-RO"/>
        </w:rPr>
        <w:t xml:space="preserve"> de gen </w:t>
      </w:r>
      <w:r w:rsidR="00FC36BD" w:rsidRPr="004C6275">
        <w:rPr>
          <w:rFonts w:cstheme="minorHAnsi"/>
          <w:b/>
          <w:lang w:val="ro-RO"/>
        </w:rPr>
        <w:t>la etapa elaborării</w:t>
      </w:r>
      <w:r w:rsidRPr="004C6275">
        <w:rPr>
          <w:rFonts w:cstheme="minorHAnsi"/>
          <w:b/>
          <w:lang w:val="ro-RO"/>
        </w:rPr>
        <w:t xml:space="preserve"> tuturor actelor și bugetelor.</w:t>
      </w:r>
      <w:r w:rsidR="00FA1BE3" w:rsidRPr="004C6275">
        <w:rPr>
          <w:rFonts w:cstheme="minorHAnsi"/>
          <w:b/>
          <w:lang w:val="ro-RO"/>
        </w:rPr>
        <w:t xml:space="preserve"> </w:t>
      </w:r>
      <w:r w:rsidR="009228EB" w:rsidRPr="004C6275">
        <w:rPr>
          <w:rFonts w:cstheme="minorHAnsi"/>
          <w:lang w:val="ro-RO"/>
        </w:rPr>
        <w:t>Adițional,</w:t>
      </w:r>
      <w:r w:rsidR="00FA1BE3" w:rsidRPr="004C6275">
        <w:rPr>
          <w:rFonts w:cstheme="minorHAnsi"/>
          <w:lang w:val="ro-RO"/>
        </w:rPr>
        <w:t xml:space="preserve"> </w:t>
      </w:r>
      <w:r w:rsidR="009228EB" w:rsidRPr="004C6275">
        <w:rPr>
          <w:rFonts w:cstheme="minorHAnsi"/>
          <w:lang w:val="ro-RO"/>
        </w:rPr>
        <w:t>v</w:t>
      </w:r>
      <w:r w:rsidR="0090332B" w:rsidRPr="004C6275">
        <w:rPr>
          <w:rFonts w:cstheme="minorHAnsi"/>
          <w:lang w:val="ro-RO"/>
        </w:rPr>
        <w:t>a fi aprobat la nivel național ghidul pentru integrarea dimensiunii de gen în politicile publice</w:t>
      </w:r>
      <w:r w:rsidR="00114A17" w:rsidRPr="004C6275">
        <w:rPr>
          <w:rFonts w:cstheme="minorHAnsi"/>
          <w:lang w:val="ro-RO"/>
        </w:rPr>
        <w:t>, drept</w:t>
      </w:r>
      <w:r w:rsidR="0090332B" w:rsidRPr="004C6275">
        <w:rPr>
          <w:rFonts w:cstheme="minorHAnsi"/>
          <w:lang w:val="ro-RO"/>
        </w:rPr>
        <w:t xml:space="preserve"> instrument de bază pentru unitățile de gen </w:t>
      </w:r>
      <w:r w:rsidR="009228EB" w:rsidRPr="004C6275">
        <w:rPr>
          <w:rFonts w:cstheme="minorHAnsi"/>
          <w:lang w:val="ro-RO"/>
        </w:rPr>
        <w:t>la etapa elaborării documentelor de politici publice.</w:t>
      </w:r>
    </w:p>
    <w:p w14:paraId="18BF1996" w14:textId="77777777" w:rsidR="007E2479" w:rsidRPr="004C6275" w:rsidRDefault="007E2479" w:rsidP="007E2479">
      <w:pPr>
        <w:spacing w:after="0" w:line="240" w:lineRule="auto"/>
        <w:jc w:val="both"/>
        <w:rPr>
          <w:rFonts w:cstheme="minorHAnsi"/>
          <w:b/>
          <w:lang w:val="ro-RO"/>
        </w:rPr>
      </w:pPr>
    </w:p>
    <w:p w14:paraId="76455D6A" w14:textId="1E70B5FF" w:rsidR="00EA2C77" w:rsidRPr="004C6275" w:rsidRDefault="00EA2C77" w:rsidP="002C6BDC">
      <w:pPr>
        <w:spacing w:after="240" w:line="240" w:lineRule="auto"/>
        <w:jc w:val="both"/>
        <w:rPr>
          <w:lang w:val="ro-RO"/>
        </w:rPr>
      </w:pPr>
      <w:r w:rsidRPr="004C6275">
        <w:rPr>
          <w:rFonts w:cstheme="minorHAnsi"/>
          <w:b/>
          <w:lang w:val="ro-RO"/>
        </w:rPr>
        <w:t>3.</w:t>
      </w:r>
      <w:r w:rsidR="00FA1BE3" w:rsidRPr="004C6275">
        <w:rPr>
          <w:rFonts w:cstheme="minorHAnsi"/>
          <w:b/>
          <w:lang w:val="ro-RO"/>
        </w:rPr>
        <w:t xml:space="preserve"> </w:t>
      </w:r>
      <w:r w:rsidR="006B6C96" w:rsidRPr="004C6275">
        <w:rPr>
          <w:rFonts w:cstheme="minorHAnsi"/>
          <w:b/>
          <w:lang w:val="ro-RO"/>
        </w:rPr>
        <w:t>Fortificarea m</w:t>
      </w:r>
      <w:r w:rsidRPr="004C6275">
        <w:rPr>
          <w:rFonts w:cstheme="minorHAnsi"/>
          <w:b/>
          <w:lang w:val="ro-RO"/>
        </w:rPr>
        <w:t>andatul</w:t>
      </w:r>
      <w:r w:rsidR="006B6C96" w:rsidRPr="004C6275">
        <w:rPr>
          <w:rFonts w:cstheme="minorHAnsi"/>
          <w:b/>
          <w:lang w:val="ro-RO"/>
        </w:rPr>
        <w:t>ui</w:t>
      </w:r>
      <w:r w:rsidRPr="004C6275">
        <w:rPr>
          <w:rFonts w:cstheme="minorHAnsi"/>
          <w:b/>
          <w:lang w:val="ro-RO"/>
        </w:rPr>
        <w:t xml:space="preserve"> instituțional al Consiliului pentru </w:t>
      </w:r>
      <w:r w:rsidR="00C34214" w:rsidRPr="004C6275">
        <w:rPr>
          <w:rFonts w:cstheme="minorHAnsi"/>
          <w:b/>
          <w:lang w:val="ro-RO"/>
        </w:rPr>
        <w:t>P</w:t>
      </w:r>
      <w:r w:rsidRPr="004C6275">
        <w:rPr>
          <w:rFonts w:cstheme="minorHAnsi"/>
          <w:b/>
          <w:lang w:val="ro-RO"/>
        </w:rPr>
        <w:t>revenirea Discriminării și Asigurarea Egalității</w:t>
      </w:r>
      <w:r w:rsidR="006A1027" w:rsidRPr="004C6275">
        <w:rPr>
          <w:b/>
          <w:lang w:val="ro-RO"/>
        </w:rPr>
        <w:t xml:space="preserve">, cu atribuții de investigare </w:t>
      </w:r>
      <w:r w:rsidR="00BD10FE" w:rsidRPr="004C6275">
        <w:rPr>
          <w:b/>
          <w:lang w:val="ro-RO"/>
        </w:rPr>
        <w:t>și</w:t>
      </w:r>
      <w:r w:rsidR="006A1027" w:rsidRPr="004C6275">
        <w:rPr>
          <w:b/>
          <w:lang w:val="ro-RO"/>
        </w:rPr>
        <w:t xml:space="preserve"> de sancționare. </w:t>
      </w:r>
      <w:r w:rsidR="00BD10FE" w:rsidRPr="004C6275">
        <w:rPr>
          <w:i/>
          <w:lang w:val="ro-RO"/>
        </w:rPr>
        <w:t>M</w:t>
      </w:r>
      <w:r w:rsidR="006A1027" w:rsidRPr="004C6275">
        <w:rPr>
          <w:i/>
          <w:lang w:val="ro-RO"/>
        </w:rPr>
        <w:t xml:space="preserve">andatul </w:t>
      </w:r>
      <w:r w:rsidR="00F662A2" w:rsidRPr="004C6275">
        <w:rPr>
          <w:i/>
          <w:lang w:val="ro-RO"/>
        </w:rPr>
        <w:t>de investiga</w:t>
      </w:r>
      <w:r w:rsidR="00BD10FE" w:rsidRPr="004C6275">
        <w:rPr>
          <w:i/>
          <w:lang w:val="ro-RO"/>
        </w:rPr>
        <w:t>re</w:t>
      </w:r>
      <w:r w:rsidR="00F662A2" w:rsidRPr="004C6275">
        <w:rPr>
          <w:lang w:val="ro-RO"/>
        </w:rPr>
        <w:t xml:space="preserve"> urmează să cuprindă câteva elemente </w:t>
      </w:r>
      <w:r w:rsidR="00696C1B" w:rsidRPr="004C6275">
        <w:rPr>
          <w:lang w:val="ro-RO"/>
        </w:rPr>
        <w:t>decisive</w:t>
      </w:r>
      <w:r w:rsidR="00F662A2" w:rsidRPr="004C6275">
        <w:rPr>
          <w:lang w:val="ro-RO"/>
        </w:rPr>
        <w:t>: (i)</w:t>
      </w:r>
      <w:r w:rsidR="00FA1BE3" w:rsidRPr="004C6275">
        <w:rPr>
          <w:lang w:val="ro-RO"/>
        </w:rPr>
        <w:t xml:space="preserve"> </w:t>
      </w:r>
      <w:r w:rsidR="00F662A2" w:rsidRPr="004C6275">
        <w:rPr>
          <w:lang w:val="ro-RO"/>
        </w:rPr>
        <w:t xml:space="preserve">mandatul de a investiga cauzele </w:t>
      </w:r>
      <w:r w:rsidR="007E1502" w:rsidRPr="004C6275">
        <w:rPr>
          <w:lang w:val="ro-RO"/>
        </w:rPr>
        <w:t>și</w:t>
      </w:r>
      <w:r w:rsidR="00F662A2" w:rsidRPr="004C6275">
        <w:rPr>
          <w:lang w:val="ro-RO"/>
        </w:rPr>
        <w:t xml:space="preserve"> nivelul </w:t>
      </w:r>
      <w:r w:rsidR="00F63CEE" w:rsidRPr="004C6275">
        <w:rPr>
          <w:lang w:val="ro-RO"/>
        </w:rPr>
        <w:t>diferențelor</w:t>
      </w:r>
      <w:r w:rsidR="00F662A2" w:rsidRPr="004C6275">
        <w:rPr>
          <w:lang w:val="ro-RO"/>
        </w:rPr>
        <w:t xml:space="preserve"> salariale pentru diferite sectoare ale economiei, </w:t>
      </w:r>
      <w:r w:rsidR="007E1502" w:rsidRPr="004C6275">
        <w:rPr>
          <w:lang w:val="ro-RO"/>
        </w:rPr>
        <w:t>ocupații</w:t>
      </w:r>
      <w:r w:rsidR="00F662A2" w:rsidRPr="004C6275">
        <w:rPr>
          <w:lang w:val="ro-RO"/>
        </w:rPr>
        <w:t xml:space="preserve"> sau</w:t>
      </w:r>
      <w:r w:rsidR="00FA1BE3" w:rsidRPr="004C6275">
        <w:rPr>
          <w:lang w:val="ro-RO"/>
        </w:rPr>
        <w:t xml:space="preserve"> </w:t>
      </w:r>
      <w:r w:rsidR="00F662A2" w:rsidRPr="004C6275">
        <w:rPr>
          <w:lang w:val="ro-RO"/>
        </w:rPr>
        <w:t>angajatori specifici</w:t>
      </w:r>
      <w:r w:rsidR="00696C1B" w:rsidRPr="004C6275">
        <w:rPr>
          <w:lang w:val="ro-RO"/>
        </w:rPr>
        <w:t>;</w:t>
      </w:r>
      <w:r w:rsidR="00F662A2" w:rsidRPr="004C6275">
        <w:rPr>
          <w:lang w:val="ro-RO"/>
        </w:rPr>
        <w:t xml:space="preserve"> (ii) mandatul de </w:t>
      </w:r>
      <w:r w:rsidR="00F63CEE" w:rsidRPr="004C6275">
        <w:rPr>
          <w:lang w:val="ro-RO"/>
        </w:rPr>
        <w:t>investigație</w:t>
      </w:r>
      <w:r w:rsidR="00F662A2" w:rsidRPr="004C6275">
        <w:rPr>
          <w:lang w:val="ro-RO"/>
        </w:rPr>
        <w:t xml:space="preserve"> trebuie să fie strict reglementat, pentru ca acesta să nu producă</w:t>
      </w:r>
      <w:r w:rsidR="00FA1BE3" w:rsidRPr="004C6275">
        <w:rPr>
          <w:lang w:val="ro-RO"/>
        </w:rPr>
        <w:t xml:space="preserve"> </w:t>
      </w:r>
      <w:r w:rsidR="00F662A2" w:rsidRPr="004C6275">
        <w:rPr>
          <w:lang w:val="ro-RO"/>
        </w:rPr>
        <w:t>costuri exagerate pentru angajatori</w:t>
      </w:r>
      <w:r w:rsidR="00696C1B" w:rsidRPr="004C6275">
        <w:rPr>
          <w:lang w:val="ro-RO"/>
        </w:rPr>
        <w:t>;</w:t>
      </w:r>
      <w:r w:rsidR="00F662A2" w:rsidRPr="004C6275">
        <w:rPr>
          <w:lang w:val="ro-RO"/>
        </w:rPr>
        <w:t xml:space="preserve"> (i</w:t>
      </w:r>
      <w:r w:rsidR="00F63CEE" w:rsidRPr="004C6275">
        <w:rPr>
          <w:lang w:val="ro-RO"/>
        </w:rPr>
        <w:t>ii</w:t>
      </w:r>
      <w:r w:rsidR="00F662A2" w:rsidRPr="004C6275">
        <w:rPr>
          <w:lang w:val="ro-RO"/>
        </w:rPr>
        <w:t xml:space="preserve">) </w:t>
      </w:r>
      <w:r w:rsidR="007E1502" w:rsidRPr="004C6275">
        <w:rPr>
          <w:lang w:val="ro-RO"/>
        </w:rPr>
        <w:t>investigațiile</w:t>
      </w:r>
      <w:r w:rsidR="00F662A2" w:rsidRPr="004C6275">
        <w:rPr>
          <w:lang w:val="ro-RO"/>
        </w:rPr>
        <w:t xml:space="preserve"> ar presupune în mare parte solicitarea de la angajator a </w:t>
      </w:r>
      <w:r w:rsidR="007E1502" w:rsidRPr="004C6275">
        <w:rPr>
          <w:lang w:val="ro-RO"/>
        </w:rPr>
        <w:t>informației</w:t>
      </w:r>
      <w:r w:rsidR="00F662A2" w:rsidRPr="004C6275">
        <w:rPr>
          <w:lang w:val="ro-RO"/>
        </w:rPr>
        <w:t xml:space="preserve"> cu privire la salariile</w:t>
      </w:r>
      <w:r w:rsidR="00FA1BE3" w:rsidRPr="004C6275">
        <w:rPr>
          <w:lang w:val="ro-RO"/>
        </w:rPr>
        <w:t xml:space="preserve"> </w:t>
      </w:r>
      <w:r w:rsidR="00F662A2" w:rsidRPr="004C6275">
        <w:rPr>
          <w:lang w:val="ro-RO"/>
        </w:rPr>
        <w:t xml:space="preserve">oferite, politica de salarizare, cu </w:t>
      </w:r>
      <w:r w:rsidR="007E1502" w:rsidRPr="004C6275">
        <w:rPr>
          <w:lang w:val="ro-RO"/>
        </w:rPr>
        <w:t>condiția</w:t>
      </w:r>
      <w:r w:rsidR="00F662A2" w:rsidRPr="004C6275">
        <w:rPr>
          <w:lang w:val="ro-RO"/>
        </w:rPr>
        <w:t xml:space="preserve"> că datele cu caracter personal sunt protejate</w:t>
      </w:r>
      <w:r w:rsidR="00696C1B" w:rsidRPr="004C6275">
        <w:rPr>
          <w:lang w:val="ro-RO"/>
        </w:rPr>
        <w:t>;</w:t>
      </w:r>
      <w:r w:rsidR="00F63CEE" w:rsidRPr="004C6275">
        <w:rPr>
          <w:lang w:val="ro-RO"/>
        </w:rPr>
        <w:t xml:space="preserve"> (iv) mandatul de </w:t>
      </w:r>
      <w:r w:rsidR="007E1502" w:rsidRPr="004C6275">
        <w:rPr>
          <w:lang w:val="ro-RO"/>
        </w:rPr>
        <w:t>a investiga</w:t>
      </w:r>
      <w:r w:rsidR="00F63CEE" w:rsidRPr="004C6275">
        <w:rPr>
          <w:lang w:val="ro-RO"/>
        </w:rPr>
        <w:t xml:space="preserve"> în teritoriu la momentul sesizării sau auto-sesizării actului de hărțuire </w:t>
      </w:r>
      <w:r w:rsidR="007E1502" w:rsidRPr="004C6275">
        <w:rPr>
          <w:lang w:val="ro-RO"/>
        </w:rPr>
        <w:t>și</w:t>
      </w:r>
      <w:r w:rsidR="00FA1BE3" w:rsidRPr="004C6275">
        <w:rPr>
          <w:lang w:val="ro-RO"/>
        </w:rPr>
        <w:t xml:space="preserve"> </w:t>
      </w:r>
      <w:r w:rsidR="00F63CEE" w:rsidRPr="004C6275">
        <w:rPr>
          <w:lang w:val="ro-RO"/>
        </w:rPr>
        <w:t>a executării obligatori</w:t>
      </w:r>
      <w:r w:rsidR="00FA1BE3" w:rsidRPr="004C6275">
        <w:rPr>
          <w:lang w:val="ro-RO"/>
        </w:rPr>
        <w:t>i</w:t>
      </w:r>
      <w:r w:rsidR="00F63CEE" w:rsidRPr="004C6275">
        <w:rPr>
          <w:lang w:val="ro-RO"/>
        </w:rPr>
        <w:t xml:space="preserve"> a recomandărilor/ deciziilor oferite de către Consiliu subiecților cazului de discriminare. </w:t>
      </w:r>
      <w:r w:rsidR="00F63CEE" w:rsidRPr="004C6275">
        <w:rPr>
          <w:i/>
          <w:lang w:val="ro-RO"/>
        </w:rPr>
        <w:t>Mandatul de sancționare</w:t>
      </w:r>
      <w:r w:rsidR="00FA1BE3" w:rsidRPr="004C6275">
        <w:rPr>
          <w:i/>
          <w:lang w:val="ro-RO"/>
        </w:rPr>
        <w:t xml:space="preserve"> </w:t>
      </w:r>
      <w:r w:rsidR="002C6BDC" w:rsidRPr="004C6275">
        <w:rPr>
          <w:lang w:val="ro-RO"/>
        </w:rPr>
        <w:t>urmează să prevadă</w:t>
      </w:r>
      <w:r w:rsidR="00F63CEE" w:rsidRPr="004C6275">
        <w:rPr>
          <w:lang w:val="ro-RO"/>
        </w:rPr>
        <w:t xml:space="preserve"> atribuția minimă de sancționare contravențională a faptelor de discriminare. Pentru o mai bună exercitare a </w:t>
      </w:r>
      <w:r w:rsidR="007E1502" w:rsidRPr="004C6275">
        <w:rPr>
          <w:lang w:val="ro-RO"/>
        </w:rPr>
        <w:t>funcțiilor</w:t>
      </w:r>
      <w:r w:rsidR="00F63CEE" w:rsidRPr="004C6275">
        <w:rPr>
          <w:lang w:val="ro-RO"/>
        </w:rPr>
        <w:t xml:space="preserve"> Consiliului</w:t>
      </w:r>
      <w:r w:rsidR="002E43D0" w:rsidRPr="004C6275">
        <w:rPr>
          <w:lang w:val="ro-RO"/>
        </w:rPr>
        <w:t>,</w:t>
      </w:r>
      <w:r w:rsidR="00F63CEE" w:rsidRPr="004C6275">
        <w:rPr>
          <w:lang w:val="ro-RO"/>
        </w:rPr>
        <w:t xml:space="preserve"> urmează să fie deschise filiale teritoriale, să fie extins </w:t>
      </w:r>
      <w:r w:rsidR="002C6BDC" w:rsidRPr="004C6275">
        <w:rPr>
          <w:lang w:val="ro-RO"/>
        </w:rPr>
        <w:t>numărul de personal al Consiliului și să fie majorat salariul acestora.</w:t>
      </w:r>
    </w:p>
    <w:p w14:paraId="32C73D13" w14:textId="1BE8A9DE" w:rsidR="00FC2A86" w:rsidRPr="004C6275" w:rsidRDefault="00EA2C77" w:rsidP="00EA2C77">
      <w:pPr>
        <w:spacing w:after="0" w:line="240" w:lineRule="auto"/>
        <w:jc w:val="both"/>
        <w:rPr>
          <w:i/>
          <w:lang w:val="ro-RO"/>
        </w:rPr>
      </w:pPr>
      <w:r w:rsidRPr="004C6275">
        <w:rPr>
          <w:rFonts w:cstheme="minorHAnsi"/>
          <w:b/>
          <w:lang w:val="ro-RO"/>
        </w:rPr>
        <w:t xml:space="preserve">4. </w:t>
      </w:r>
      <w:r w:rsidR="00FC2A86" w:rsidRPr="004C6275">
        <w:rPr>
          <w:rFonts w:cstheme="minorHAnsi"/>
          <w:b/>
          <w:lang w:val="ro-RO"/>
        </w:rPr>
        <w:t xml:space="preserve">Crearea </w:t>
      </w:r>
      <w:r w:rsidR="00C34214" w:rsidRPr="004C6275">
        <w:rPr>
          <w:rFonts w:cstheme="minorHAnsi"/>
          <w:b/>
          <w:lang w:val="ro-RO"/>
        </w:rPr>
        <w:t>C</w:t>
      </w:r>
      <w:r w:rsidR="00FC2A86" w:rsidRPr="004C6275">
        <w:rPr>
          <w:rFonts w:cstheme="minorHAnsi"/>
          <w:b/>
          <w:lang w:val="ro-RO"/>
        </w:rPr>
        <w:t xml:space="preserve">omisiei pentru oportunități egale în cadrul Parlamentului. </w:t>
      </w:r>
      <w:r w:rsidR="00112260" w:rsidRPr="004C6275">
        <w:rPr>
          <w:lang w:val="ro-RO"/>
        </w:rPr>
        <w:t>Atribuțiile comisiei vor include: (</w:t>
      </w:r>
      <w:r w:rsidR="00515388" w:rsidRPr="004C6275">
        <w:rPr>
          <w:lang w:val="ro-RO"/>
        </w:rPr>
        <w:t>i</w:t>
      </w:r>
      <w:r w:rsidR="00112260" w:rsidRPr="004C6275">
        <w:rPr>
          <w:lang w:val="ro-RO"/>
        </w:rPr>
        <w:t>) avizarea obligatorie a tuturor actelor legislative relevante din perspectiva impactului asupra egalității de gen</w:t>
      </w:r>
      <w:r w:rsidR="002E43D0" w:rsidRPr="004C6275">
        <w:rPr>
          <w:lang w:val="ro-RO"/>
        </w:rPr>
        <w:t>;</w:t>
      </w:r>
      <w:r w:rsidR="00112260" w:rsidRPr="004C6275">
        <w:rPr>
          <w:lang w:val="ro-RO"/>
        </w:rPr>
        <w:t xml:space="preserve"> (</w:t>
      </w:r>
      <w:r w:rsidR="00515388" w:rsidRPr="004C6275">
        <w:rPr>
          <w:lang w:val="ro-RO"/>
        </w:rPr>
        <w:t>ii</w:t>
      </w:r>
      <w:r w:rsidR="00112260" w:rsidRPr="004C6275">
        <w:rPr>
          <w:lang w:val="ro-RO"/>
        </w:rPr>
        <w:t>) audierea anuală a tuturor autorităților centrale în ceea ce privește progresele în implementarea politicii de stat în domeniu,</w:t>
      </w:r>
      <w:r w:rsidR="002E43D0" w:rsidRPr="004C6275">
        <w:rPr>
          <w:lang w:val="ro-RO"/>
        </w:rPr>
        <w:t xml:space="preserve"> precum</w:t>
      </w:r>
      <w:r w:rsidR="00FA1BE3" w:rsidRPr="004C6275">
        <w:rPr>
          <w:lang w:val="ro-RO"/>
        </w:rPr>
        <w:t xml:space="preserve"> </w:t>
      </w:r>
      <w:r w:rsidR="00112260" w:rsidRPr="004C6275">
        <w:rPr>
          <w:lang w:val="ro-RO"/>
        </w:rPr>
        <w:t>și a angajamentelor internaționale relevante pentru domeniu (CEDAW, UPR, MDG, etc.)</w:t>
      </w:r>
      <w:r w:rsidR="002E43D0" w:rsidRPr="004C6275">
        <w:rPr>
          <w:rFonts w:cstheme="minorHAnsi"/>
          <w:lang w:val="ro-RO"/>
        </w:rPr>
        <w:t xml:space="preserve">; </w:t>
      </w:r>
      <w:r w:rsidR="00C1531C" w:rsidRPr="004C6275">
        <w:rPr>
          <w:rFonts w:cstheme="minorHAnsi"/>
          <w:lang w:val="ro-RO"/>
        </w:rPr>
        <w:t>(iii) p</w:t>
      </w:r>
      <w:r w:rsidR="00C1531C" w:rsidRPr="004C6275">
        <w:rPr>
          <w:i/>
          <w:lang w:val="ro-RO"/>
        </w:rPr>
        <w:t>revenirea și combaterea sexismului în activitatea parlamentară.</w:t>
      </w:r>
    </w:p>
    <w:p w14:paraId="7EC93B57" w14:textId="77777777" w:rsidR="000B2F9E" w:rsidRPr="004C6275" w:rsidRDefault="000B2F9E" w:rsidP="00EA2C77">
      <w:pPr>
        <w:spacing w:after="0" w:line="240" w:lineRule="auto"/>
        <w:jc w:val="both"/>
        <w:rPr>
          <w:rFonts w:cstheme="minorHAnsi"/>
          <w:b/>
          <w:lang w:val="ro-RO"/>
        </w:rPr>
      </w:pPr>
    </w:p>
    <w:p w14:paraId="207EC1E5" w14:textId="77777777" w:rsidR="00FC2A86" w:rsidRPr="004C6275" w:rsidRDefault="00FC2A86" w:rsidP="00EA2C77">
      <w:pPr>
        <w:spacing w:after="0" w:line="240" w:lineRule="auto"/>
        <w:jc w:val="both"/>
        <w:rPr>
          <w:rFonts w:cstheme="minorHAnsi"/>
          <w:b/>
          <w:lang w:val="ro-RO"/>
        </w:rPr>
      </w:pPr>
    </w:p>
    <w:p w14:paraId="39E12650" w14:textId="77777777" w:rsidR="00112260" w:rsidRPr="004C6275" w:rsidRDefault="00112260" w:rsidP="00EA2C77">
      <w:pPr>
        <w:spacing w:after="0" w:line="240" w:lineRule="auto"/>
        <w:jc w:val="both"/>
        <w:rPr>
          <w:rFonts w:cstheme="minorHAnsi"/>
          <w:b/>
          <w:lang w:val="ro-RO"/>
        </w:rPr>
      </w:pPr>
    </w:p>
    <w:p w14:paraId="2815E05C" w14:textId="77777777" w:rsidR="00112260" w:rsidRPr="004C6275" w:rsidRDefault="00112260" w:rsidP="00EA2C77">
      <w:pPr>
        <w:spacing w:after="0" w:line="240" w:lineRule="auto"/>
        <w:jc w:val="both"/>
        <w:rPr>
          <w:rFonts w:cstheme="minorHAnsi"/>
          <w:b/>
          <w:lang w:val="ro-RO"/>
        </w:rPr>
      </w:pPr>
    </w:p>
    <w:p w14:paraId="6A4CE882" w14:textId="77777777" w:rsidR="00112260" w:rsidRPr="004C6275" w:rsidRDefault="00112260" w:rsidP="00EA2C77">
      <w:pPr>
        <w:spacing w:after="0" w:line="240" w:lineRule="auto"/>
        <w:jc w:val="both"/>
        <w:rPr>
          <w:rFonts w:cstheme="minorHAnsi"/>
          <w:b/>
          <w:lang w:val="ro-RO"/>
        </w:rPr>
      </w:pPr>
    </w:p>
    <w:p w14:paraId="2380C12F" w14:textId="77777777" w:rsidR="00112260" w:rsidRPr="004C6275" w:rsidRDefault="00112260" w:rsidP="00EA2C77">
      <w:pPr>
        <w:spacing w:after="0" w:line="240" w:lineRule="auto"/>
        <w:jc w:val="both"/>
        <w:rPr>
          <w:rFonts w:cstheme="minorHAnsi"/>
          <w:b/>
          <w:lang w:val="ro-RO"/>
        </w:rPr>
      </w:pPr>
    </w:p>
    <w:p w14:paraId="1D7FE884" w14:textId="77777777" w:rsidR="00112260" w:rsidRPr="004C6275" w:rsidRDefault="00112260" w:rsidP="00EA2C77">
      <w:pPr>
        <w:spacing w:after="0" w:line="240" w:lineRule="auto"/>
        <w:jc w:val="both"/>
        <w:rPr>
          <w:rFonts w:cstheme="minorHAnsi"/>
          <w:b/>
          <w:lang w:val="ro-RO"/>
        </w:rPr>
      </w:pPr>
    </w:p>
    <w:p w14:paraId="4F07CB85" w14:textId="77777777" w:rsidR="00112260" w:rsidRPr="004C6275" w:rsidRDefault="00112260" w:rsidP="00EA2C77">
      <w:pPr>
        <w:spacing w:after="0" w:line="240" w:lineRule="auto"/>
        <w:jc w:val="both"/>
        <w:rPr>
          <w:rFonts w:cstheme="minorHAnsi"/>
          <w:b/>
          <w:lang w:val="ro-RO"/>
        </w:rPr>
      </w:pPr>
    </w:p>
    <w:p w14:paraId="791796AA" w14:textId="77777777" w:rsidR="00112260" w:rsidRPr="004C6275" w:rsidRDefault="00112260" w:rsidP="00EA2C77">
      <w:pPr>
        <w:spacing w:after="0" w:line="240" w:lineRule="auto"/>
        <w:jc w:val="both"/>
        <w:rPr>
          <w:rFonts w:cstheme="minorHAnsi"/>
          <w:b/>
          <w:lang w:val="ro-RO"/>
        </w:rPr>
      </w:pPr>
    </w:p>
    <w:p w14:paraId="18FBE06F" w14:textId="77777777" w:rsidR="00112260" w:rsidRPr="004C6275" w:rsidRDefault="00112260" w:rsidP="00EA2C77">
      <w:pPr>
        <w:spacing w:after="0" w:line="240" w:lineRule="auto"/>
        <w:jc w:val="both"/>
        <w:rPr>
          <w:rFonts w:cstheme="minorHAnsi"/>
          <w:b/>
          <w:lang w:val="ro-RO"/>
        </w:rPr>
      </w:pPr>
    </w:p>
    <w:p w14:paraId="11DDD2BA" w14:textId="194BCF20" w:rsidR="00112260" w:rsidRPr="004C6275" w:rsidRDefault="00112260" w:rsidP="00EA2C77">
      <w:pPr>
        <w:spacing w:after="0" w:line="240" w:lineRule="auto"/>
        <w:jc w:val="both"/>
        <w:rPr>
          <w:rFonts w:cstheme="minorHAnsi"/>
          <w:b/>
          <w:lang w:val="ro-RO"/>
        </w:rPr>
      </w:pPr>
    </w:p>
    <w:p w14:paraId="0C55BD0B" w14:textId="5D0F37C3" w:rsidR="000B2F9E" w:rsidRPr="004C6275" w:rsidRDefault="000B2F9E" w:rsidP="00EA2C77">
      <w:pPr>
        <w:spacing w:after="0" w:line="240" w:lineRule="auto"/>
        <w:jc w:val="both"/>
        <w:rPr>
          <w:rFonts w:cstheme="minorHAnsi"/>
          <w:b/>
          <w:lang w:val="ro-RO"/>
        </w:rPr>
      </w:pPr>
    </w:p>
    <w:p w14:paraId="5DA2BFE2" w14:textId="77777777" w:rsidR="005B382E" w:rsidRDefault="005B382E" w:rsidP="000B2F9E">
      <w:pPr>
        <w:spacing w:after="0" w:line="240" w:lineRule="auto"/>
        <w:jc w:val="both"/>
        <w:rPr>
          <w:rFonts w:cstheme="minorHAnsi"/>
          <w:b/>
          <w:lang w:val="ro-RO"/>
        </w:rPr>
      </w:pPr>
    </w:p>
    <w:p w14:paraId="72B52F1B" w14:textId="77777777" w:rsidR="005B382E" w:rsidRDefault="005B382E" w:rsidP="000B2F9E">
      <w:pPr>
        <w:spacing w:after="0" w:line="240" w:lineRule="auto"/>
        <w:jc w:val="both"/>
        <w:rPr>
          <w:rFonts w:cstheme="minorHAnsi"/>
          <w:b/>
          <w:lang w:val="ro-RO"/>
        </w:rPr>
      </w:pPr>
    </w:p>
    <w:p w14:paraId="41AA6D97" w14:textId="77777777" w:rsidR="005B382E" w:rsidRDefault="005B382E" w:rsidP="000B2F9E">
      <w:pPr>
        <w:spacing w:after="0" w:line="240" w:lineRule="auto"/>
        <w:jc w:val="both"/>
        <w:rPr>
          <w:rFonts w:cstheme="minorHAnsi"/>
          <w:b/>
          <w:lang w:val="ro-RO"/>
        </w:rPr>
      </w:pPr>
    </w:p>
    <w:p w14:paraId="6FFA135B" w14:textId="721F5A41" w:rsidR="005B382E" w:rsidRDefault="005B382E" w:rsidP="000B2F9E">
      <w:pPr>
        <w:spacing w:after="0" w:line="240" w:lineRule="auto"/>
        <w:jc w:val="both"/>
        <w:rPr>
          <w:rFonts w:cstheme="minorHAnsi"/>
          <w:b/>
          <w:lang w:val="ro-RO"/>
        </w:rPr>
      </w:pPr>
    </w:p>
    <w:p w14:paraId="37D668D9" w14:textId="77777777" w:rsidR="00F13491" w:rsidRDefault="00F13491" w:rsidP="000B2F9E">
      <w:pPr>
        <w:spacing w:after="0" w:line="240" w:lineRule="auto"/>
        <w:jc w:val="both"/>
        <w:rPr>
          <w:rFonts w:cstheme="minorHAnsi"/>
          <w:b/>
          <w:lang w:val="ro-RO"/>
        </w:rPr>
      </w:pPr>
      <w:bookmarkStart w:id="0" w:name="_GoBack"/>
      <w:bookmarkEnd w:id="0"/>
    </w:p>
    <w:p w14:paraId="1474F8B4" w14:textId="77777777" w:rsidR="005B382E" w:rsidRDefault="005B382E" w:rsidP="000B2F9E">
      <w:pPr>
        <w:spacing w:after="0" w:line="240" w:lineRule="auto"/>
        <w:jc w:val="both"/>
        <w:rPr>
          <w:rFonts w:cstheme="minorHAnsi"/>
          <w:b/>
          <w:lang w:val="ro-RO"/>
        </w:rPr>
      </w:pPr>
    </w:p>
    <w:p w14:paraId="756836F3" w14:textId="0AB8F5F5" w:rsidR="005B382E" w:rsidRDefault="005B382E" w:rsidP="000B2F9E">
      <w:pPr>
        <w:spacing w:after="0" w:line="240" w:lineRule="auto"/>
        <w:jc w:val="both"/>
        <w:rPr>
          <w:rFonts w:cstheme="minorHAnsi"/>
          <w:b/>
          <w:lang w:val="ro-RO"/>
        </w:rPr>
      </w:pPr>
    </w:p>
    <w:p w14:paraId="554D97D3" w14:textId="77777777" w:rsidR="005B382E" w:rsidRDefault="005B382E" w:rsidP="000B2F9E">
      <w:pPr>
        <w:spacing w:after="0" w:line="240" w:lineRule="auto"/>
        <w:jc w:val="both"/>
        <w:rPr>
          <w:rFonts w:cstheme="minorHAnsi"/>
          <w:b/>
          <w:lang w:val="ro-RO"/>
        </w:rPr>
      </w:pPr>
    </w:p>
    <w:p w14:paraId="6745F273" w14:textId="36402163" w:rsidR="000B2F9E" w:rsidRPr="00815485" w:rsidRDefault="004C6275" w:rsidP="000B2F9E">
      <w:pPr>
        <w:spacing w:after="0" w:line="240" w:lineRule="auto"/>
        <w:jc w:val="both"/>
        <w:rPr>
          <w:rFonts w:ascii="Calibri Light" w:hAnsi="Calibri Light" w:cstheme="minorHAnsi"/>
          <w:b/>
          <w:color w:val="1F497D" w:themeColor="text2"/>
          <w:sz w:val="36"/>
          <w:szCs w:val="44"/>
          <w:lang w:val="ro-RO"/>
        </w:rPr>
      </w:pPr>
      <w:r w:rsidRPr="00D957D7">
        <w:rPr>
          <w:rFonts w:ascii="Calibri Light" w:hAnsi="Calibri Light" w:cstheme="minorHAnsi"/>
          <w:b/>
          <w:color w:val="244061" w:themeColor="accent1" w:themeShade="80"/>
          <w:sz w:val="36"/>
          <w:szCs w:val="44"/>
          <w:lang w:val="ro-RO"/>
        </w:rPr>
        <w:t>PREVENIREA DISCURSULUI DE URĂ</w:t>
      </w:r>
    </w:p>
    <w:p w14:paraId="01730BC2" w14:textId="6E1C055A" w:rsidR="000B2F9E" w:rsidRDefault="000B2F9E" w:rsidP="000B2F9E">
      <w:pPr>
        <w:spacing w:after="0" w:line="240" w:lineRule="auto"/>
        <w:jc w:val="both"/>
        <w:rPr>
          <w:rFonts w:cstheme="minorHAnsi"/>
          <w:b/>
          <w:lang w:val="ro-RO"/>
        </w:rPr>
      </w:pPr>
    </w:p>
    <w:p w14:paraId="44064714" w14:textId="77777777" w:rsidR="00D957D7" w:rsidRPr="004C6275" w:rsidRDefault="00D957D7" w:rsidP="000B2F9E">
      <w:pPr>
        <w:spacing w:after="0" w:line="240" w:lineRule="auto"/>
        <w:jc w:val="both"/>
        <w:rPr>
          <w:rFonts w:cstheme="minorHAnsi"/>
          <w:b/>
          <w:lang w:val="ro-RO"/>
        </w:rPr>
      </w:pPr>
    </w:p>
    <w:p w14:paraId="3596CD1F" w14:textId="438927E2" w:rsidR="000B2F9E" w:rsidRPr="004C6275" w:rsidRDefault="000B2F9E" w:rsidP="00815485">
      <w:pPr>
        <w:spacing w:line="240" w:lineRule="auto"/>
        <w:jc w:val="both"/>
        <w:rPr>
          <w:rFonts w:cstheme="minorHAnsi"/>
          <w:i/>
          <w:lang w:val="ro-RO"/>
        </w:rPr>
      </w:pPr>
      <w:r w:rsidRPr="004C6275">
        <w:rPr>
          <w:rFonts w:cstheme="minorHAnsi"/>
          <w:i/>
          <w:lang w:val="ro-RO"/>
        </w:rPr>
        <w:t xml:space="preserve">Conform datelor din raportul </w:t>
      </w:r>
      <w:proofErr w:type="spellStart"/>
      <w:r w:rsidRPr="004C6275">
        <w:rPr>
          <w:rFonts w:cstheme="minorHAnsi"/>
          <w:i/>
          <w:lang w:val="ro-RO"/>
        </w:rPr>
        <w:t>Promo</w:t>
      </w:r>
      <w:r w:rsidR="00AD0038" w:rsidRPr="004C6275">
        <w:rPr>
          <w:rFonts w:cstheme="minorHAnsi"/>
          <w:i/>
          <w:lang w:val="ro-RO"/>
        </w:rPr>
        <w:t>-</w:t>
      </w:r>
      <w:r w:rsidRPr="004C6275">
        <w:rPr>
          <w:rFonts w:cstheme="minorHAnsi"/>
          <w:i/>
          <w:lang w:val="ro-RO"/>
        </w:rPr>
        <w:t>Lex</w:t>
      </w:r>
      <w:proofErr w:type="spellEnd"/>
      <w:r w:rsidRPr="004C6275">
        <w:rPr>
          <w:rFonts w:cstheme="minorHAnsi"/>
          <w:i/>
          <w:lang w:val="ro-RO"/>
        </w:rPr>
        <w:t xml:space="preserve"> </w:t>
      </w:r>
      <w:r w:rsidR="00AD0038" w:rsidRPr="004C6275">
        <w:rPr>
          <w:rFonts w:cstheme="minorHAnsi"/>
          <w:i/>
          <w:lang w:val="ro-RO"/>
        </w:rPr>
        <w:t xml:space="preserve"> </w:t>
      </w:r>
      <w:r w:rsidRPr="004C6275">
        <w:rPr>
          <w:rFonts w:cstheme="minorHAnsi"/>
          <w:i/>
          <w:lang w:val="ro-RO"/>
        </w:rPr>
        <w:t>„Discursul de ură și instigarea la discriminare în spațiul public și mass-media din Republica Moldova”</w:t>
      </w:r>
      <w:r w:rsidR="00AD0038" w:rsidRPr="004C6275">
        <w:rPr>
          <w:rStyle w:val="FootnoteReference"/>
          <w:rFonts w:cstheme="minorHAnsi"/>
          <w:i/>
          <w:lang w:val="ro-RO"/>
        </w:rPr>
        <w:footnoteReference w:id="10"/>
      </w:r>
      <w:r w:rsidRPr="004C6275">
        <w:rPr>
          <w:rFonts w:cstheme="minorHAnsi"/>
          <w:i/>
          <w:lang w:val="ro-RO"/>
        </w:rPr>
        <w:t xml:space="preserve">, 2018,  femeile constituie al doilea cel mai afectat grup din Moldova de discursul de ură. Exprimarea se manifestă de multe ori prin clișee legate de modele de comportament și prejudecăți de gen. Această retorică portretizează imaginea femeii slabe sau inferioare bărbatului. Retorica sexistă perpetuează prejudecățile față de femei, le subliniază rolurile sociale, conturează ideea inferiorității față de bărbați și crește gradul de intoleranță față de acest grup social. </w:t>
      </w:r>
    </w:p>
    <w:p w14:paraId="7547E837" w14:textId="39E725FB" w:rsidR="000B2F9E" w:rsidRDefault="000B2F9E" w:rsidP="00815485">
      <w:pPr>
        <w:spacing w:after="0" w:line="240" w:lineRule="auto"/>
        <w:jc w:val="both"/>
        <w:rPr>
          <w:rFonts w:cstheme="minorHAnsi"/>
          <w:i/>
          <w:lang w:val="ro-RO"/>
        </w:rPr>
      </w:pPr>
      <w:r w:rsidRPr="004C6275">
        <w:rPr>
          <w:rFonts w:cstheme="minorHAnsi"/>
          <w:i/>
          <w:lang w:val="ro-RO"/>
        </w:rPr>
        <w:t xml:space="preserve">Aceste mesaje nu se adresează </w:t>
      </w:r>
      <w:r w:rsidR="002E43D0" w:rsidRPr="004C6275">
        <w:rPr>
          <w:rFonts w:cstheme="minorHAnsi"/>
          <w:i/>
          <w:lang w:val="ro-RO"/>
        </w:rPr>
        <w:t xml:space="preserve">tot timpul </w:t>
      </w:r>
      <w:r w:rsidRPr="004C6275">
        <w:rPr>
          <w:rFonts w:cstheme="minorHAnsi"/>
          <w:i/>
          <w:lang w:val="ro-RO"/>
        </w:rPr>
        <w:t>direct femeilor, dar sunt utilizate pentru a ofensa persoana căreia i se adresează sau pentru a o contrapune unor prejudecăți percepute ostil în societate. Autorii acestor exprimări construiesc retorica împotriva oponenților axată pe derâdere, inferioritate și neseriozitate, asociate cu prejudecățile pe care le folosesc. Această comparație are în permanență la polul opus femeile, într-un fel sau în altul.</w:t>
      </w:r>
    </w:p>
    <w:p w14:paraId="73A8EBFE" w14:textId="77777777" w:rsidR="00815485" w:rsidRPr="004C6275" w:rsidRDefault="00815485" w:rsidP="00815485">
      <w:pPr>
        <w:spacing w:after="0" w:line="240" w:lineRule="auto"/>
        <w:jc w:val="both"/>
        <w:rPr>
          <w:rFonts w:cstheme="minorHAnsi"/>
          <w:i/>
          <w:lang w:val="ro-RO"/>
        </w:rPr>
      </w:pPr>
    </w:p>
    <w:p w14:paraId="62A475FF" w14:textId="77777777" w:rsidR="000B2F9E" w:rsidRPr="004C6275" w:rsidRDefault="000B2F9E" w:rsidP="004C6275">
      <w:pPr>
        <w:spacing w:after="0" w:line="240" w:lineRule="auto"/>
        <w:rPr>
          <w:rFonts w:cstheme="minorHAnsi"/>
          <w:lang w:val="ro-RO"/>
        </w:rPr>
      </w:pPr>
    </w:p>
    <w:p w14:paraId="3CBD2244" w14:textId="3A36F254" w:rsidR="000B2F9E" w:rsidRPr="004C6275" w:rsidRDefault="000B2F9E" w:rsidP="004C6275">
      <w:pPr>
        <w:spacing w:line="240" w:lineRule="auto"/>
        <w:rPr>
          <w:rFonts w:cstheme="minorHAnsi"/>
          <w:b/>
          <w:lang w:val="ro-RO"/>
        </w:rPr>
      </w:pPr>
      <w:r w:rsidRPr="004C6275">
        <w:rPr>
          <w:rFonts w:cstheme="minorHAnsi"/>
          <w:b/>
          <w:lang w:val="ro-RO"/>
        </w:rPr>
        <w:t>SOLICITĂM:</w:t>
      </w:r>
    </w:p>
    <w:p w14:paraId="3ED8509D" w14:textId="302B1B7F" w:rsidR="000B2F9E" w:rsidRPr="004C6275" w:rsidRDefault="004C6275" w:rsidP="004C6275">
      <w:pPr>
        <w:pStyle w:val="ListParagraph"/>
        <w:spacing w:after="0" w:line="240" w:lineRule="auto"/>
        <w:ind w:left="0"/>
        <w:jc w:val="both"/>
        <w:rPr>
          <w:rFonts w:cstheme="minorHAnsi"/>
          <w:lang w:val="ro-RO"/>
        </w:rPr>
      </w:pPr>
      <w:r w:rsidRPr="004C6275">
        <w:rPr>
          <w:rFonts w:cstheme="minorHAnsi"/>
          <w:b/>
          <w:lang w:val="ro-RO"/>
        </w:rPr>
        <w:t>1.</w:t>
      </w:r>
      <w:r w:rsidR="000B2F9E" w:rsidRPr="004C6275">
        <w:rPr>
          <w:rFonts w:cstheme="minorHAnsi"/>
          <w:b/>
          <w:lang w:val="ro-RO"/>
        </w:rPr>
        <w:t>Modificarea Codului Penal și contravențional pentru investigarea și sancționarea infracțiunilor motivate de prejudecată și a discursului de ură</w:t>
      </w:r>
      <w:r w:rsidR="000B2F9E" w:rsidRPr="004C6275">
        <w:rPr>
          <w:rFonts w:cstheme="minorHAnsi"/>
          <w:lang w:val="ro-RO"/>
        </w:rPr>
        <w:t>, inclusiv în context electoral, în conformitate cu standardele internaționale, în special cu articolul 19 al Pactului Internațional cu privire la Drepturile Civile și Politice, articolul 4 al Convenției pentru Eliminarea Tuturor Formelor de Discriminare Rasială și Recomandarea Generală CERD nr.35 din 2013, Comentariul General nr.34 al Comitetului ONU pentru Drepturile Omului și Recomandarea ECRI de politică generală nr. 11 privind combaterea rasismului și discriminării rasiale din 2007.</w:t>
      </w:r>
    </w:p>
    <w:p w14:paraId="4D907671" w14:textId="77777777" w:rsidR="00AD0038" w:rsidRPr="004C6275" w:rsidRDefault="00AD0038" w:rsidP="004C6275">
      <w:pPr>
        <w:pStyle w:val="ListParagraph"/>
        <w:spacing w:after="0" w:line="240" w:lineRule="auto"/>
        <w:ind w:left="0"/>
        <w:jc w:val="both"/>
        <w:rPr>
          <w:rFonts w:cstheme="minorHAnsi"/>
          <w:lang w:val="ro-RO"/>
        </w:rPr>
      </w:pPr>
    </w:p>
    <w:p w14:paraId="0B995C92" w14:textId="3D0B4F71" w:rsidR="000B2F9E" w:rsidRPr="004C6275" w:rsidRDefault="004C6275" w:rsidP="004C6275">
      <w:pPr>
        <w:pStyle w:val="ListParagraph"/>
        <w:spacing w:after="0" w:line="240" w:lineRule="auto"/>
        <w:ind w:left="0"/>
        <w:jc w:val="both"/>
        <w:rPr>
          <w:rFonts w:cstheme="minorHAnsi"/>
          <w:lang w:val="ro-RO"/>
        </w:rPr>
      </w:pPr>
      <w:r w:rsidRPr="004C6275">
        <w:rPr>
          <w:rFonts w:cstheme="minorHAnsi"/>
          <w:b/>
          <w:lang w:val="ro-RO"/>
        </w:rPr>
        <w:t>2.</w:t>
      </w:r>
      <w:r w:rsidR="000B2F9E" w:rsidRPr="004C6275">
        <w:rPr>
          <w:rFonts w:cstheme="minorHAnsi"/>
          <w:b/>
          <w:lang w:val="ro-RO"/>
        </w:rPr>
        <w:t>Revizuirea legislației naționale pentru uniformizarea noțiunii discursului de ură, în conformitate cu standardele internaționale:</w:t>
      </w:r>
      <w:r w:rsidR="000B2F9E" w:rsidRPr="004C6275">
        <w:rPr>
          <w:rFonts w:cstheme="minorHAnsi"/>
          <w:lang w:val="ro-RO"/>
        </w:rPr>
        <w:t xml:space="preserve"> noțiunii de discurs care incită la ură, din Legea cu privire la libertatea de exprimare, articolul 2; noțiunii de instigare la discriminare din articolul 2, Legea cu privire la asigurarea egalității, ca să includă intenția anunțată de a discrimina, încurajarea sau sprijinirea altuia de a discrimina; noțiunii de limbaj sexist din articolul 2, Legea cu privire la asigurarea egalității de șanse între femei și bărbați, pentru a include legătura între limbaj și prejudecățile de gen.</w:t>
      </w:r>
    </w:p>
    <w:p w14:paraId="45C48997" w14:textId="3D52DAEA" w:rsidR="00AD0038" w:rsidRPr="004C6275" w:rsidRDefault="00AD0038" w:rsidP="004C6275">
      <w:pPr>
        <w:spacing w:after="0" w:line="240" w:lineRule="auto"/>
        <w:jc w:val="both"/>
        <w:rPr>
          <w:rFonts w:cstheme="minorHAnsi"/>
          <w:lang w:val="ro-RO"/>
        </w:rPr>
      </w:pPr>
    </w:p>
    <w:p w14:paraId="15811619" w14:textId="0DBC1654" w:rsidR="000B2F9E" w:rsidRPr="004C6275" w:rsidRDefault="004C6275" w:rsidP="004C6275">
      <w:pPr>
        <w:pStyle w:val="ListParagraph"/>
        <w:spacing w:after="0" w:line="240" w:lineRule="auto"/>
        <w:ind w:left="0"/>
        <w:jc w:val="both"/>
        <w:rPr>
          <w:rFonts w:cstheme="minorHAnsi"/>
          <w:lang w:val="ro-RO"/>
        </w:rPr>
      </w:pPr>
      <w:r w:rsidRPr="004C6275">
        <w:rPr>
          <w:rFonts w:cstheme="minorHAnsi"/>
          <w:b/>
          <w:lang w:val="ro-RO"/>
        </w:rPr>
        <w:t>3.</w:t>
      </w:r>
      <w:r w:rsidR="000B2F9E" w:rsidRPr="004C6275">
        <w:rPr>
          <w:rFonts w:cstheme="minorHAnsi"/>
          <w:b/>
          <w:lang w:val="ro-RO"/>
        </w:rPr>
        <w:t>Revizuirea cadrului legislativ electoral, în special a Codului Electoral,</w:t>
      </w:r>
      <w:r w:rsidR="000B2F9E" w:rsidRPr="004C6275">
        <w:rPr>
          <w:rFonts w:cstheme="minorHAnsi"/>
          <w:lang w:val="ro-RO"/>
        </w:rPr>
        <w:t xml:space="preserve"> pentru a defini discursul de ură în campaniile electorale și reglementa modalitățile de descurajare a utilizării acestui discurs. Instituirea unui mecanism de monitorizare, documentare și sancționare a discursului de ură în campaniile electorale.</w:t>
      </w:r>
    </w:p>
    <w:p w14:paraId="3AC22EF1" w14:textId="348FCF88" w:rsidR="00B729A7" w:rsidRPr="004C6275" w:rsidRDefault="00B729A7" w:rsidP="004C6275">
      <w:pPr>
        <w:spacing w:after="0" w:line="240" w:lineRule="auto"/>
        <w:rPr>
          <w:rFonts w:cstheme="minorHAnsi"/>
          <w:b/>
          <w:color w:val="1F497D" w:themeColor="text2"/>
          <w:lang w:val="ro-RO"/>
        </w:rPr>
      </w:pPr>
    </w:p>
    <w:p w14:paraId="3AB20F92" w14:textId="18AF8B34" w:rsidR="00AD0038" w:rsidRPr="004C6275" w:rsidRDefault="00AD0038" w:rsidP="004C6275">
      <w:pPr>
        <w:spacing w:after="0" w:line="240" w:lineRule="auto"/>
        <w:rPr>
          <w:rFonts w:cstheme="minorHAnsi"/>
          <w:b/>
          <w:color w:val="1F497D" w:themeColor="text2"/>
          <w:lang w:val="ro-RO"/>
        </w:rPr>
      </w:pPr>
    </w:p>
    <w:p w14:paraId="217C132C" w14:textId="7F04F9F4" w:rsidR="00AD0038" w:rsidRPr="004C6275" w:rsidRDefault="00AD0038" w:rsidP="00EA2C77">
      <w:pPr>
        <w:spacing w:after="0" w:line="240" w:lineRule="auto"/>
        <w:jc w:val="both"/>
        <w:rPr>
          <w:rFonts w:ascii="Calibri Light" w:hAnsi="Calibri Light" w:cstheme="minorHAnsi"/>
          <w:b/>
          <w:color w:val="1F497D" w:themeColor="text2"/>
          <w:sz w:val="36"/>
          <w:szCs w:val="44"/>
          <w:lang w:val="ro-RO"/>
        </w:rPr>
      </w:pPr>
    </w:p>
    <w:p w14:paraId="7CF5FF8C" w14:textId="3F399B48" w:rsidR="00B729A7" w:rsidRPr="004C6275" w:rsidRDefault="00B729A7" w:rsidP="00EA2C77">
      <w:pPr>
        <w:spacing w:after="0" w:line="240" w:lineRule="auto"/>
        <w:jc w:val="both"/>
        <w:rPr>
          <w:rFonts w:ascii="Calibri Light" w:hAnsi="Calibri Light" w:cstheme="minorHAnsi"/>
          <w:b/>
          <w:color w:val="1F497D" w:themeColor="text2"/>
          <w:sz w:val="36"/>
          <w:szCs w:val="44"/>
          <w:lang w:val="ro-RO"/>
        </w:rPr>
      </w:pPr>
    </w:p>
    <w:p w14:paraId="2D337396" w14:textId="36BBE0C4" w:rsidR="00AD0038" w:rsidRPr="004C6275" w:rsidRDefault="00AD0038" w:rsidP="006053E9">
      <w:pPr>
        <w:spacing w:after="0"/>
        <w:jc w:val="both"/>
        <w:rPr>
          <w:rFonts w:ascii="Calibri Light" w:hAnsi="Calibri Light" w:cstheme="minorHAnsi"/>
          <w:b/>
          <w:color w:val="1F497D" w:themeColor="text2"/>
          <w:sz w:val="36"/>
          <w:szCs w:val="44"/>
          <w:lang w:val="ro-RO"/>
        </w:rPr>
      </w:pPr>
    </w:p>
    <w:sectPr w:rsidR="00AD0038" w:rsidRPr="004C6275" w:rsidSect="005B382E">
      <w:footerReference w:type="default" r:id="rId8"/>
      <w:pgSz w:w="12240" w:h="15840"/>
      <w:pgMar w:top="0" w:right="1041" w:bottom="142" w:left="1440"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A6B0" w14:textId="77777777" w:rsidR="002C0BC0" w:rsidRDefault="002C0BC0" w:rsidP="00A04B68">
      <w:pPr>
        <w:spacing w:after="0" w:line="240" w:lineRule="auto"/>
      </w:pPr>
      <w:r>
        <w:separator/>
      </w:r>
    </w:p>
  </w:endnote>
  <w:endnote w:type="continuationSeparator" w:id="0">
    <w:p w14:paraId="5EDED444" w14:textId="77777777" w:rsidR="002C0BC0" w:rsidRDefault="002C0BC0" w:rsidP="00A0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832667"/>
      <w:docPartObj>
        <w:docPartGallery w:val="Page Numbers (Bottom of Page)"/>
        <w:docPartUnique/>
      </w:docPartObj>
    </w:sdtPr>
    <w:sdtEndPr>
      <w:rPr>
        <w:noProof/>
      </w:rPr>
    </w:sdtEndPr>
    <w:sdtContent>
      <w:p w14:paraId="4465C978" w14:textId="7ED902A9" w:rsidR="001E7E1C" w:rsidRDefault="000370A8">
        <w:pPr>
          <w:pStyle w:val="Footer"/>
          <w:jc w:val="center"/>
        </w:pPr>
        <w:r>
          <w:rPr>
            <w:noProof/>
          </w:rPr>
          <w:fldChar w:fldCharType="begin"/>
        </w:r>
        <w:r>
          <w:rPr>
            <w:noProof/>
          </w:rPr>
          <w:instrText xml:space="preserve"> PAGE   \* MERGEFORMAT </w:instrText>
        </w:r>
        <w:r>
          <w:rPr>
            <w:noProof/>
          </w:rPr>
          <w:fldChar w:fldCharType="separate"/>
        </w:r>
        <w:r w:rsidR="00F13491">
          <w:rPr>
            <w:noProof/>
          </w:rPr>
          <w:t>9</w:t>
        </w:r>
        <w:r>
          <w:rPr>
            <w:noProof/>
          </w:rPr>
          <w:fldChar w:fldCharType="end"/>
        </w:r>
      </w:p>
    </w:sdtContent>
  </w:sdt>
  <w:p w14:paraId="0FEEE8F9" w14:textId="77777777" w:rsidR="001E7E1C" w:rsidRDefault="001E7E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B6195" w14:textId="77777777" w:rsidR="002C0BC0" w:rsidRDefault="002C0BC0" w:rsidP="00A04B68">
      <w:pPr>
        <w:spacing w:after="0" w:line="240" w:lineRule="auto"/>
      </w:pPr>
      <w:r>
        <w:separator/>
      </w:r>
    </w:p>
  </w:footnote>
  <w:footnote w:type="continuationSeparator" w:id="0">
    <w:p w14:paraId="083CF1F8" w14:textId="77777777" w:rsidR="002C0BC0" w:rsidRDefault="002C0BC0" w:rsidP="00A04B68">
      <w:pPr>
        <w:spacing w:after="0" w:line="240" w:lineRule="auto"/>
      </w:pPr>
      <w:r>
        <w:continuationSeparator/>
      </w:r>
    </w:p>
  </w:footnote>
  <w:footnote w:id="1">
    <w:p w14:paraId="06752B7D" w14:textId="56D29C51" w:rsidR="004C6275" w:rsidRPr="00A27D0C" w:rsidRDefault="004C6275" w:rsidP="00A27D0C">
      <w:pPr>
        <w:spacing w:line="240" w:lineRule="auto"/>
        <w:jc w:val="both"/>
        <w:rPr>
          <w:color w:val="17365D" w:themeColor="text2" w:themeShade="BF"/>
          <w:sz w:val="16"/>
          <w:szCs w:val="18"/>
          <w:lang w:val="ro-RO"/>
        </w:rPr>
      </w:pPr>
      <w:r w:rsidRPr="00A27D0C">
        <w:rPr>
          <w:rStyle w:val="FootnoteReference"/>
          <w:color w:val="17365D" w:themeColor="text2" w:themeShade="BF"/>
          <w:sz w:val="16"/>
          <w:szCs w:val="18"/>
          <w:lang w:val="ro-RO"/>
        </w:rPr>
        <w:footnoteRef/>
      </w:r>
      <w:r w:rsidRPr="00A27D0C">
        <w:rPr>
          <w:color w:val="17365D" w:themeColor="text2" w:themeShade="BF"/>
          <w:sz w:val="16"/>
          <w:szCs w:val="18"/>
          <w:lang w:val="ro-RO"/>
        </w:rPr>
        <w:t xml:space="preserve"> </w:t>
      </w:r>
      <w:r w:rsidRPr="000A24B6">
        <w:rPr>
          <w:rFonts w:eastAsia="Times New Roman" w:cs="Times New Roman"/>
          <w:b/>
          <w:color w:val="17365D" w:themeColor="text2" w:themeShade="BF"/>
          <w:sz w:val="16"/>
          <w:szCs w:val="18"/>
          <w:highlight w:val="white"/>
          <w:lang w:val="ro-RO"/>
        </w:rPr>
        <w:t>Platforma pentru Egalitate de Gen</w:t>
      </w:r>
      <w:r w:rsidRPr="00A27D0C">
        <w:rPr>
          <w:rFonts w:eastAsia="Times New Roman" w:cs="Times New Roman"/>
          <w:color w:val="17365D" w:themeColor="text2" w:themeShade="BF"/>
          <w:sz w:val="16"/>
          <w:szCs w:val="18"/>
          <w:highlight w:val="white"/>
          <w:lang w:val="ro-RO"/>
        </w:rPr>
        <w:t xml:space="preserve"> reprezintă o uniune benevolă a 29 de ONG-uri</w:t>
      </w:r>
      <w:r w:rsidR="00C21582" w:rsidRPr="00A27D0C">
        <w:rPr>
          <w:rFonts w:eastAsia="Times New Roman" w:cs="Times New Roman"/>
          <w:color w:val="17365D" w:themeColor="text2" w:themeShade="BF"/>
          <w:sz w:val="16"/>
          <w:szCs w:val="18"/>
          <w:highlight w:val="white"/>
          <w:lang w:val="ro-RO"/>
        </w:rPr>
        <w:t xml:space="preserve">: </w:t>
      </w:r>
      <w:r w:rsidR="00A27D0C" w:rsidRPr="00B07F9D">
        <w:rPr>
          <w:color w:val="17365D" w:themeColor="text2" w:themeShade="BF"/>
          <w:sz w:val="17"/>
          <w:szCs w:val="17"/>
          <w:lang w:val="ro-RO"/>
        </w:rPr>
        <w:t>Centrul Parteneriat pentru Dezvoltare</w:t>
      </w:r>
      <w:r w:rsidR="00C21582" w:rsidRPr="00A27D0C">
        <w:rPr>
          <w:color w:val="17365D" w:themeColor="text2" w:themeShade="BF"/>
          <w:sz w:val="16"/>
          <w:szCs w:val="18"/>
          <w:lang w:val="ro-RO"/>
        </w:rPr>
        <w:t xml:space="preserve">, Asociația Împotriva Violenței în Familie- Casa Mărioarei”, </w:t>
      </w:r>
      <w:r w:rsidR="00A27D0C">
        <w:rPr>
          <w:color w:val="17365D" w:themeColor="text2" w:themeShade="BF"/>
          <w:sz w:val="16"/>
          <w:szCs w:val="18"/>
          <w:lang w:val="ro-RO"/>
        </w:rPr>
        <w:t xml:space="preserve">AO </w:t>
      </w:r>
      <w:r w:rsidR="00C21582" w:rsidRPr="00A27D0C">
        <w:rPr>
          <w:color w:val="17365D" w:themeColor="text2" w:themeShade="BF"/>
          <w:sz w:val="16"/>
          <w:szCs w:val="18"/>
          <w:lang w:val="ro-RO"/>
        </w:rPr>
        <w:t xml:space="preserve">”Femeia Modernă” (Orhei), </w:t>
      </w:r>
      <w:r w:rsidR="00A27D0C">
        <w:rPr>
          <w:color w:val="17365D" w:themeColor="text2" w:themeShade="BF"/>
          <w:sz w:val="16"/>
          <w:szCs w:val="18"/>
          <w:lang w:val="ro-RO"/>
        </w:rPr>
        <w:t>AO</w:t>
      </w:r>
      <w:r w:rsidR="00C21582" w:rsidRPr="00A27D0C">
        <w:rPr>
          <w:color w:val="17365D" w:themeColor="text2" w:themeShade="BF"/>
          <w:sz w:val="16"/>
          <w:szCs w:val="18"/>
          <w:lang w:val="ro-RO"/>
        </w:rPr>
        <w:t xml:space="preserve"> ”</w:t>
      </w:r>
      <w:proofErr w:type="spellStart"/>
      <w:r w:rsidR="00C21582" w:rsidRPr="00A27D0C">
        <w:rPr>
          <w:color w:val="17365D" w:themeColor="text2" w:themeShade="BF"/>
          <w:sz w:val="16"/>
          <w:szCs w:val="18"/>
          <w:lang w:val="ro-RO"/>
        </w:rPr>
        <w:t>Mildava</w:t>
      </w:r>
      <w:proofErr w:type="spellEnd"/>
      <w:r w:rsidR="00C21582" w:rsidRPr="00A27D0C">
        <w:rPr>
          <w:color w:val="17365D" w:themeColor="text2" w:themeShade="BF"/>
          <w:sz w:val="16"/>
          <w:szCs w:val="18"/>
          <w:lang w:val="ro-RO"/>
        </w:rPr>
        <w:t xml:space="preserve">” (Nisporeni), </w:t>
      </w:r>
      <w:r w:rsidR="00A27D0C">
        <w:rPr>
          <w:color w:val="17365D" w:themeColor="text2" w:themeShade="BF"/>
          <w:sz w:val="16"/>
          <w:szCs w:val="18"/>
          <w:lang w:val="ro-RO"/>
        </w:rPr>
        <w:t>AO</w:t>
      </w:r>
      <w:r w:rsidR="00C21582" w:rsidRPr="00A27D0C">
        <w:rPr>
          <w:color w:val="17365D" w:themeColor="text2" w:themeShade="BF"/>
          <w:sz w:val="16"/>
          <w:szCs w:val="18"/>
          <w:lang w:val="ro-RO"/>
        </w:rPr>
        <w:t xml:space="preserve"> Vocea Femeilor Rome ”ROMANO ALAV”, </w:t>
      </w:r>
      <w:r w:rsidR="00B07F9D">
        <w:rPr>
          <w:color w:val="17365D" w:themeColor="text2" w:themeShade="BF"/>
          <w:sz w:val="16"/>
          <w:szCs w:val="18"/>
          <w:lang w:val="ro-RO"/>
        </w:rPr>
        <w:t xml:space="preserve">AO </w:t>
      </w:r>
      <w:r w:rsidR="00C21582" w:rsidRPr="00A27D0C">
        <w:rPr>
          <w:color w:val="17365D" w:themeColor="text2" w:themeShade="BF"/>
          <w:sz w:val="16"/>
          <w:szCs w:val="18"/>
          <w:lang w:val="ro-RO"/>
        </w:rPr>
        <w:t xml:space="preserve">”Forul Organizațiilor de Femei din Republica Moldova”, </w:t>
      </w:r>
      <w:r w:rsidR="00A27D0C">
        <w:rPr>
          <w:color w:val="17365D" w:themeColor="text2" w:themeShade="BF"/>
          <w:sz w:val="16"/>
          <w:szCs w:val="18"/>
          <w:lang w:val="ro-RO"/>
        </w:rPr>
        <w:t xml:space="preserve">AO </w:t>
      </w:r>
      <w:r w:rsidR="00C21582" w:rsidRPr="00A27D0C">
        <w:rPr>
          <w:color w:val="17365D" w:themeColor="text2" w:themeShade="BF"/>
          <w:sz w:val="16"/>
          <w:szCs w:val="18"/>
          <w:lang w:val="ro-RO"/>
        </w:rPr>
        <w:t>”</w:t>
      </w:r>
      <w:proofErr w:type="spellStart"/>
      <w:r w:rsidR="00C21582" w:rsidRPr="00A27D0C">
        <w:rPr>
          <w:color w:val="17365D" w:themeColor="text2" w:themeShade="BF"/>
          <w:sz w:val="16"/>
          <w:szCs w:val="18"/>
          <w:lang w:val="ro-RO"/>
        </w:rPr>
        <w:t>Gender</w:t>
      </w:r>
      <w:proofErr w:type="spellEnd"/>
      <w:r w:rsidR="00C21582" w:rsidRPr="00A27D0C">
        <w:rPr>
          <w:color w:val="17365D" w:themeColor="text2" w:themeShade="BF"/>
          <w:sz w:val="16"/>
          <w:szCs w:val="18"/>
          <w:lang w:val="ro-RO"/>
        </w:rPr>
        <w:t xml:space="preserve">-Centru”, </w:t>
      </w:r>
      <w:r w:rsidR="00A27D0C">
        <w:rPr>
          <w:color w:val="17365D" w:themeColor="text2" w:themeShade="BF"/>
          <w:sz w:val="16"/>
          <w:szCs w:val="18"/>
          <w:lang w:val="ro-RO"/>
        </w:rPr>
        <w:t xml:space="preserve">AO </w:t>
      </w:r>
      <w:r w:rsidR="00C21582" w:rsidRPr="00A27D0C">
        <w:rPr>
          <w:color w:val="17365D" w:themeColor="text2" w:themeShade="BF"/>
          <w:sz w:val="16"/>
          <w:szCs w:val="18"/>
          <w:lang w:val="ro-RO"/>
        </w:rPr>
        <w:t xml:space="preserve">”Institutul de Rezolvare a Conflictelor”, </w:t>
      </w:r>
      <w:r w:rsidR="00A27D0C">
        <w:rPr>
          <w:color w:val="17365D" w:themeColor="text2" w:themeShade="BF"/>
          <w:sz w:val="16"/>
          <w:szCs w:val="18"/>
          <w:lang w:val="ro-RO"/>
        </w:rPr>
        <w:t xml:space="preserve">AO </w:t>
      </w:r>
      <w:r w:rsidR="00C21582" w:rsidRPr="00A27D0C">
        <w:rPr>
          <w:color w:val="17365D" w:themeColor="text2" w:themeShade="BF"/>
          <w:sz w:val="16"/>
          <w:szCs w:val="18"/>
          <w:lang w:val="ro-RO"/>
        </w:rPr>
        <w:t>”</w:t>
      </w:r>
      <w:proofErr w:type="spellStart"/>
      <w:r w:rsidR="00C21582" w:rsidRPr="00A27D0C">
        <w:rPr>
          <w:color w:val="17365D" w:themeColor="text2" w:themeShade="BF"/>
          <w:sz w:val="16"/>
          <w:szCs w:val="18"/>
          <w:lang w:val="ro-RO"/>
        </w:rPr>
        <w:t>Promo-Lex</w:t>
      </w:r>
      <w:proofErr w:type="spellEnd"/>
      <w:r w:rsidR="00C21582" w:rsidRPr="00A27D0C">
        <w:rPr>
          <w:color w:val="17365D" w:themeColor="text2" w:themeShade="BF"/>
          <w:sz w:val="16"/>
          <w:szCs w:val="18"/>
          <w:lang w:val="ro-RO"/>
        </w:rPr>
        <w:t>”</w:t>
      </w:r>
      <w:r w:rsidR="00B07F9D">
        <w:rPr>
          <w:color w:val="17365D" w:themeColor="text2" w:themeShade="BF"/>
          <w:sz w:val="16"/>
          <w:szCs w:val="18"/>
          <w:lang w:val="ro-RO"/>
        </w:rPr>
        <w:t>, AO</w:t>
      </w:r>
      <w:r w:rsidR="00C21582" w:rsidRPr="00A27D0C">
        <w:rPr>
          <w:color w:val="17365D" w:themeColor="text2" w:themeShade="BF"/>
          <w:sz w:val="16"/>
          <w:szCs w:val="18"/>
          <w:lang w:val="ro-RO"/>
        </w:rPr>
        <w:t xml:space="preserve"> Femeia pentru Viitor (Ungheni), </w:t>
      </w:r>
      <w:r w:rsidR="00B07F9D">
        <w:rPr>
          <w:color w:val="17365D" w:themeColor="text2" w:themeShade="BF"/>
          <w:sz w:val="16"/>
          <w:szCs w:val="18"/>
          <w:lang w:val="ro-RO"/>
        </w:rPr>
        <w:t>AO „</w:t>
      </w:r>
      <w:r w:rsidR="00C21582" w:rsidRPr="00A27D0C">
        <w:rPr>
          <w:color w:val="17365D" w:themeColor="text2" w:themeShade="BF"/>
          <w:sz w:val="16"/>
          <w:szCs w:val="18"/>
          <w:lang w:val="ro-RO"/>
        </w:rPr>
        <w:t>Onoare și Drepturile Femeii Contemporane</w:t>
      </w:r>
      <w:r w:rsidR="00B07F9D">
        <w:rPr>
          <w:color w:val="17365D" w:themeColor="text2" w:themeShade="BF"/>
          <w:sz w:val="16"/>
          <w:szCs w:val="18"/>
          <w:lang w:val="ro-RO"/>
        </w:rPr>
        <w:t>”</w:t>
      </w:r>
      <w:r w:rsidR="00C21582" w:rsidRPr="00A27D0C">
        <w:rPr>
          <w:color w:val="17365D" w:themeColor="text2" w:themeShade="BF"/>
          <w:sz w:val="16"/>
          <w:szCs w:val="18"/>
          <w:lang w:val="ro-RO"/>
        </w:rPr>
        <w:t xml:space="preserve"> (Bălți) , Alina Andronache</w:t>
      </w:r>
      <w:r w:rsidR="00B07F9D">
        <w:rPr>
          <w:color w:val="17365D" w:themeColor="text2" w:themeShade="BF"/>
          <w:sz w:val="16"/>
          <w:szCs w:val="18"/>
          <w:lang w:val="ro-RO"/>
        </w:rPr>
        <w:t xml:space="preserve">, Ana </w:t>
      </w:r>
      <w:proofErr w:type="spellStart"/>
      <w:r w:rsidR="00B07F9D">
        <w:rPr>
          <w:color w:val="17365D" w:themeColor="text2" w:themeShade="BF"/>
          <w:sz w:val="16"/>
          <w:szCs w:val="18"/>
          <w:lang w:val="ro-RO"/>
        </w:rPr>
        <w:t>Gurău</w:t>
      </w:r>
      <w:proofErr w:type="spellEnd"/>
      <w:r w:rsidR="00C21582" w:rsidRPr="00A27D0C">
        <w:rPr>
          <w:color w:val="17365D" w:themeColor="text2" w:themeShade="BF"/>
          <w:sz w:val="16"/>
          <w:szCs w:val="18"/>
          <w:lang w:val="ro-RO"/>
        </w:rPr>
        <w:t xml:space="preserve">, Asociația Femeilor Antreprenoare din Moldova-AFAM, Centrul ”Parteneriat pentru Dezvoltare”, Centrul de Asistență Juridică pentru Persoane cu Dizabilități, Centrul de Reabilitare a Victimelor Torturii ”Memoria”, Centrul de Resurse pentru Drepturile Omului, Clubul  Politic al Femeilor 50/50, Diana </w:t>
      </w:r>
      <w:proofErr w:type="spellStart"/>
      <w:r w:rsidR="00C21582" w:rsidRPr="00A27D0C">
        <w:rPr>
          <w:color w:val="17365D" w:themeColor="text2" w:themeShade="BF"/>
          <w:sz w:val="16"/>
          <w:szCs w:val="18"/>
          <w:lang w:val="ro-RO"/>
        </w:rPr>
        <w:t>Enachi</w:t>
      </w:r>
      <w:proofErr w:type="spellEnd"/>
      <w:r w:rsidR="00C21582" w:rsidRPr="00A27D0C">
        <w:rPr>
          <w:color w:val="17365D" w:themeColor="text2" w:themeShade="BF"/>
          <w:sz w:val="16"/>
          <w:szCs w:val="18"/>
          <w:lang w:val="ro-RO"/>
        </w:rPr>
        <w:t xml:space="preserve">, Galina Precup, Georgeta </w:t>
      </w:r>
      <w:proofErr w:type="spellStart"/>
      <w:r w:rsidR="00C21582" w:rsidRPr="00A27D0C">
        <w:rPr>
          <w:color w:val="17365D" w:themeColor="text2" w:themeShade="BF"/>
          <w:sz w:val="16"/>
          <w:szCs w:val="18"/>
          <w:lang w:val="ro-RO"/>
        </w:rPr>
        <w:t>Carasiucenco</w:t>
      </w:r>
      <w:proofErr w:type="spellEnd"/>
      <w:r w:rsidR="00C21582" w:rsidRPr="00A27D0C">
        <w:rPr>
          <w:color w:val="17365D" w:themeColor="text2" w:themeShade="BF"/>
          <w:sz w:val="16"/>
          <w:szCs w:val="18"/>
          <w:lang w:val="ro-RO"/>
        </w:rPr>
        <w:t xml:space="preserve">, Grupul de Inițiative Feministe din Moldova, Marina </w:t>
      </w:r>
      <w:proofErr w:type="spellStart"/>
      <w:r w:rsidR="00C21582" w:rsidRPr="00A27D0C">
        <w:rPr>
          <w:color w:val="17365D" w:themeColor="text2" w:themeShade="BF"/>
          <w:sz w:val="16"/>
          <w:szCs w:val="18"/>
          <w:lang w:val="ro-RO"/>
        </w:rPr>
        <w:t>Zarija</w:t>
      </w:r>
      <w:proofErr w:type="spellEnd"/>
      <w:r w:rsidR="00C21582" w:rsidRPr="00A27D0C">
        <w:rPr>
          <w:color w:val="17365D" w:themeColor="text2" w:themeShade="BF"/>
          <w:sz w:val="16"/>
          <w:szCs w:val="18"/>
          <w:lang w:val="ro-RO"/>
        </w:rPr>
        <w:t xml:space="preserve">, </w:t>
      </w:r>
      <w:proofErr w:type="spellStart"/>
      <w:r w:rsidR="00C21582" w:rsidRPr="00A27D0C">
        <w:rPr>
          <w:color w:val="17365D" w:themeColor="text2" w:themeShade="BF"/>
          <w:sz w:val="16"/>
          <w:szCs w:val="18"/>
          <w:lang w:val="ro-RO"/>
        </w:rPr>
        <w:t>Nata</w:t>
      </w:r>
      <w:proofErr w:type="spellEnd"/>
      <w:r w:rsidR="00C21582" w:rsidRPr="00A27D0C">
        <w:rPr>
          <w:color w:val="17365D" w:themeColor="text2" w:themeShade="BF"/>
          <w:sz w:val="16"/>
          <w:szCs w:val="18"/>
          <w:lang w:val="ro-RO"/>
        </w:rPr>
        <w:t xml:space="preserve"> </w:t>
      </w:r>
      <w:proofErr w:type="spellStart"/>
      <w:r w:rsidR="00C21582" w:rsidRPr="00A27D0C">
        <w:rPr>
          <w:color w:val="17365D" w:themeColor="text2" w:themeShade="BF"/>
          <w:sz w:val="16"/>
          <w:szCs w:val="18"/>
          <w:lang w:val="ro-RO"/>
        </w:rPr>
        <w:t>Scobioală</w:t>
      </w:r>
      <w:proofErr w:type="spellEnd"/>
      <w:r w:rsidR="00C21582" w:rsidRPr="00A27D0C">
        <w:rPr>
          <w:color w:val="17365D" w:themeColor="text2" w:themeShade="BF"/>
          <w:sz w:val="16"/>
          <w:szCs w:val="18"/>
          <w:lang w:val="ro-RO"/>
        </w:rPr>
        <w:t xml:space="preserve">, Olga </w:t>
      </w:r>
      <w:proofErr w:type="spellStart"/>
      <w:r w:rsidR="00C21582" w:rsidRPr="00A27D0C">
        <w:rPr>
          <w:color w:val="17365D" w:themeColor="text2" w:themeShade="BF"/>
          <w:sz w:val="16"/>
          <w:szCs w:val="18"/>
          <w:lang w:val="ro-RO"/>
        </w:rPr>
        <w:t>Nicolenco</w:t>
      </w:r>
      <w:proofErr w:type="spellEnd"/>
      <w:r w:rsidR="00C21582" w:rsidRPr="00A27D0C">
        <w:rPr>
          <w:color w:val="17365D" w:themeColor="text2" w:themeShade="BF"/>
          <w:sz w:val="16"/>
          <w:szCs w:val="18"/>
          <w:lang w:val="ro-RO"/>
        </w:rPr>
        <w:t xml:space="preserve">, Tatiana </w:t>
      </w:r>
      <w:proofErr w:type="spellStart"/>
      <w:r w:rsidR="00C21582" w:rsidRPr="00A27D0C">
        <w:rPr>
          <w:color w:val="17365D" w:themeColor="text2" w:themeShade="BF"/>
          <w:sz w:val="16"/>
          <w:szCs w:val="18"/>
          <w:lang w:val="ro-RO"/>
        </w:rPr>
        <w:t>Kebak</w:t>
      </w:r>
      <w:proofErr w:type="spellEnd"/>
      <w:r w:rsidR="00C21582" w:rsidRPr="00A27D0C">
        <w:rPr>
          <w:color w:val="17365D" w:themeColor="text2" w:themeShade="BF"/>
          <w:sz w:val="16"/>
          <w:szCs w:val="18"/>
          <w:lang w:val="ro-RO"/>
        </w:rPr>
        <w:t>, AO ”Femei pentru Societatea Contemporană”, AO ”AFINA” (Bălți)</w:t>
      </w:r>
      <w:r w:rsidR="00A27D0C">
        <w:rPr>
          <w:color w:val="17365D" w:themeColor="text2" w:themeShade="BF"/>
          <w:sz w:val="16"/>
          <w:szCs w:val="18"/>
          <w:lang w:val="ro-RO"/>
        </w:rPr>
        <w:t>.</w:t>
      </w:r>
    </w:p>
  </w:footnote>
  <w:footnote w:id="2">
    <w:p w14:paraId="1948BE2E" w14:textId="2D75F1AC" w:rsidR="005B382E" w:rsidRPr="00A27D0C" w:rsidRDefault="004C6275" w:rsidP="00A27D0C">
      <w:pPr>
        <w:spacing w:line="240" w:lineRule="auto"/>
        <w:jc w:val="both"/>
        <w:rPr>
          <w:color w:val="17365D" w:themeColor="text2" w:themeShade="BF"/>
          <w:sz w:val="16"/>
          <w:szCs w:val="18"/>
          <w:lang w:val="ro-RO"/>
        </w:rPr>
      </w:pPr>
      <w:r w:rsidRPr="00A27D0C">
        <w:rPr>
          <w:rStyle w:val="FootnoteReference"/>
          <w:color w:val="17365D" w:themeColor="text2" w:themeShade="BF"/>
          <w:sz w:val="16"/>
          <w:szCs w:val="18"/>
          <w:lang w:val="ro-RO"/>
        </w:rPr>
        <w:footnoteRef/>
      </w:r>
      <w:r w:rsidRPr="00A27D0C">
        <w:rPr>
          <w:color w:val="17365D" w:themeColor="text2" w:themeShade="BF"/>
          <w:sz w:val="16"/>
          <w:szCs w:val="18"/>
          <w:lang w:val="ro-RO"/>
        </w:rPr>
        <w:t xml:space="preserve"> </w:t>
      </w:r>
      <w:r w:rsidRPr="000A24B6">
        <w:rPr>
          <w:rFonts w:eastAsia="Times New Roman" w:cs="Times New Roman"/>
          <w:b/>
          <w:color w:val="17365D" w:themeColor="text2" w:themeShade="BF"/>
          <w:sz w:val="16"/>
          <w:szCs w:val="18"/>
          <w:highlight w:val="white"/>
          <w:lang w:val="ro-RO"/>
        </w:rPr>
        <w:t>Coaliția Națională ”Viața fără Violență în Familie”</w:t>
      </w:r>
      <w:r w:rsidRPr="00A27D0C">
        <w:rPr>
          <w:rFonts w:eastAsia="Times New Roman" w:cs="Times New Roman"/>
          <w:color w:val="17365D" w:themeColor="text2" w:themeShade="BF"/>
          <w:sz w:val="16"/>
          <w:szCs w:val="18"/>
          <w:highlight w:val="white"/>
          <w:lang w:val="ro-RO"/>
        </w:rPr>
        <w:t xml:space="preserve"> reprezintă o platformă neinstituționalizată, formată din 22 de organizații non-guvernamentale și instituții publice, prestatori de servicii în domeniul prevenirii și </w:t>
      </w:r>
      <w:r w:rsidR="00C21582" w:rsidRPr="00A27D0C">
        <w:rPr>
          <w:rFonts w:eastAsia="Times New Roman" w:cs="Times New Roman"/>
          <w:color w:val="17365D" w:themeColor="text2" w:themeShade="BF"/>
          <w:sz w:val="16"/>
          <w:szCs w:val="18"/>
          <w:highlight w:val="white"/>
          <w:lang w:val="ro-RO"/>
        </w:rPr>
        <w:t>combaterii violenței în familie:</w:t>
      </w:r>
      <w:r w:rsidR="00C21582" w:rsidRPr="00A27D0C">
        <w:rPr>
          <w:rFonts w:eastAsia="Times New Roman" w:cs="Times New Roman"/>
          <w:color w:val="17365D" w:themeColor="text2" w:themeShade="BF"/>
          <w:sz w:val="16"/>
          <w:szCs w:val="18"/>
          <w:lang w:val="ro-RO"/>
        </w:rPr>
        <w:t xml:space="preserve"> </w:t>
      </w:r>
      <w:r w:rsidR="005B382E" w:rsidRPr="00A27D0C">
        <w:rPr>
          <w:rFonts w:eastAsia="Times New Roman" w:cs="Times New Roman"/>
          <w:color w:val="17365D" w:themeColor="text2" w:themeShade="BF"/>
          <w:sz w:val="16"/>
          <w:szCs w:val="18"/>
          <w:lang w:val="ro-RO"/>
        </w:rPr>
        <w:t xml:space="preserve"> </w:t>
      </w:r>
      <w:r w:rsidR="005B382E" w:rsidRPr="00A27D0C">
        <w:rPr>
          <w:color w:val="17365D" w:themeColor="text2" w:themeShade="BF"/>
          <w:sz w:val="16"/>
          <w:szCs w:val="18"/>
          <w:lang w:val="ro-RO"/>
        </w:rPr>
        <w:t xml:space="preserve">AO „Centrul </w:t>
      </w:r>
      <w:r w:rsidR="00A27D0C" w:rsidRPr="00A27D0C">
        <w:rPr>
          <w:color w:val="17365D" w:themeColor="text2" w:themeShade="BF"/>
          <w:sz w:val="16"/>
          <w:szCs w:val="18"/>
          <w:lang w:val="ro-RO"/>
        </w:rPr>
        <w:t>Internațional</w:t>
      </w:r>
      <w:r w:rsidR="005B382E" w:rsidRPr="00A27D0C">
        <w:rPr>
          <w:color w:val="17365D" w:themeColor="text2" w:themeShade="BF"/>
          <w:sz w:val="16"/>
          <w:szCs w:val="18"/>
          <w:lang w:val="ro-RO"/>
        </w:rPr>
        <w:t xml:space="preserve"> pentru </w:t>
      </w:r>
      <w:r w:rsidR="00A27D0C" w:rsidRPr="00A27D0C">
        <w:rPr>
          <w:color w:val="17365D" w:themeColor="text2" w:themeShade="BF"/>
          <w:sz w:val="16"/>
          <w:szCs w:val="18"/>
          <w:lang w:val="ro-RO"/>
        </w:rPr>
        <w:t>Protecția</w:t>
      </w:r>
      <w:r w:rsidR="005B382E" w:rsidRPr="00A27D0C">
        <w:rPr>
          <w:color w:val="17365D" w:themeColor="text2" w:themeShade="BF"/>
          <w:sz w:val="16"/>
          <w:szCs w:val="18"/>
          <w:lang w:val="ro-RO"/>
        </w:rPr>
        <w:t xml:space="preserve"> </w:t>
      </w:r>
      <w:r w:rsidR="00A27D0C" w:rsidRPr="00A27D0C">
        <w:rPr>
          <w:color w:val="17365D" w:themeColor="text2" w:themeShade="BF"/>
          <w:sz w:val="16"/>
          <w:szCs w:val="18"/>
          <w:lang w:val="ro-RO"/>
        </w:rPr>
        <w:t>și</w:t>
      </w:r>
      <w:r w:rsidR="005B382E" w:rsidRPr="00A27D0C">
        <w:rPr>
          <w:color w:val="17365D" w:themeColor="text2" w:themeShade="BF"/>
          <w:sz w:val="16"/>
          <w:szCs w:val="18"/>
          <w:lang w:val="ro-RO"/>
        </w:rPr>
        <w:t xml:space="preserve"> Promovarea Drepturilor Femeii „La Strada”, AO ”</w:t>
      </w:r>
      <w:proofErr w:type="spellStart"/>
      <w:r w:rsidR="005B382E" w:rsidRPr="00A27D0C">
        <w:rPr>
          <w:color w:val="17365D" w:themeColor="text2" w:themeShade="BF"/>
          <w:sz w:val="16"/>
          <w:szCs w:val="18"/>
          <w:lang w:val="ro-RO"/>
        </w:rPr>
        <w:t>Gender</w:t>
      </w:r>
      <w:proofErr w:type="spellEnd"/>
      <w:r w:rsidR="005B382E" w:rsidRPr="00A27D0C">
        <w:rPr>
          <w:color w:val="17365D" w:themeColor="text2" w:themeShade="BF"/>
          <w:sz w:val="16"/>
          <w:szCs w:val="18"/>
          <w:lang w:val="ro-RO"/>
        </w:rPr>
        <w:t xml:space="preserve"> – Centru”, Asociația împotriva Violenței „Casa Mărioarei", AO „</w:t>
      </w:r>
      <w:proofErr w:type="spellStart"/>
      <w:r w:rsidR="005B382E" w:rsidRPr="00A27D0C">
        <w:rPr>
          <w:color w:val="17365D" w:themeColor="text2" w:themeShade="BF"/>
          <w:sz w:val="16"/>
          <w:szCs w:val="18"/>
          <w:lang w:val="ro-RO"/>
        </w:rPr>
        <w:t>Promo-Lex</w:t>
      </w:r>
      <w:proofErr w:type="spellEnd"/>
      <w:r w:rsidR="005B382E" w:rsidRPr="00A27D0C">
        <w:rPr>
          <w:color w:val="17365D" w:themeColor="text2" w:themeShade="BF"/>
          <w:sz w:val="16"/>
          <w:szCs w:val="18"/>
          <w:lang w:val="ro-RO"/>
        </w:rPr>
        <w:t xml:space="preserve">”, Centrul de Reabilitare a Victimelor Torturii "Memoria", AO „Centrul de Drept al Femeilor" (CDF), AO Centrul Național pentru Prevenirea Abuzului față de Copii (CNPAC), AO </w:t>
      </w:r>
      <w:proofErr w:type="spellStart"/>
      <w:r w:rsidR="005B382E" w:rsidRPr="00A27D0C">
        <w:rPr>
          <w:color w:val="17365D" w:themeColor="text2" w:themeShade="BF"/>
          <w:sz w:val="16"/>
          <w:szCs w:val="18"/>
          <w:lang w:val="ro-RO"/>
        </w:rPr>
        <w:t>Artemida</w:t>
      </w:r>
      <w:proofErr w:type="spellEnd"/>
      <w:r w:rsidR="005B382E" w:rsidRPr="00A27D0C">
        <w:rPr>
          <w:color w:val="17365D" w:themeColor="text2" w:themeShade="BF"/>
          <w:sz w:val="16"/>
          <w:szCs w:val="18"/>
          <w:lang w:val="ro-RO"/>
        </w:rPr>
        <w:t xml:space="preserve">,  AO Centrul de Resurse pentru Tineret ”Dacia”, AO „Onoarea </w:t>
      </w:r>
      <w:proofErr w:type="spellStart"/>
      <w:r w:rsidR="005B382E" w:rsidRPr="00A27D0C">
        <w:rPr>
          <w:color w:val="17365D" w:themeColor="text2" w:themeShade="BF"/>
          <w:sz w:val="16"/>
          <w:szCs w:val="18"/>
          <w:lang w:val="ro-RO"/>
        </w:rPr>
        <w:t>şi</w:t>
      </w:r>
      <w:proofErr w:type="spellEnd"/>
      <w:r w:rsidR="005B382E" w:rsidRPr="00A27D0C">
        <w:rPr>
          <w:color w:val="17365D" w:themeColor="text2" w:themeShade="BF"/>
          <w:sz w:val="16"/>
          <w:szCs w:val="18"/>
          <w:lang w:val="ro-RO"/>
        </w:rPr>
        <w:t xml:space="preserve"> Dreptul Femeilor Contemporane", AO Centrul Psihosocial ”Vulcănești”, AO ”Institutul Democratic, Comrat, AO  ”Vesta”, Comrat, AO ”</w:t>
      </w:r>
      <w:proofErr w:type="spellStart"/>
      <w:r w:rsidR="005B382E" w:rsidRPr="00A27D0C">
        <w:rPr>
          <w:color w:val="17365D" w:themeColor="text2" w:themeShade="BF"/>
          <w:sz w:val="16"/>
          <w:szCs w:val="18"/>
          <w:lang w:val="ro-RO"/>
        </w:rPr>
        <w:t>Interactions</w:t>
      </w:r>
      <w:proofErr w:type="spellEnd"/>
      <w:r w:rsidR="005B382E" w:rsidRPr="00A27D0C">
        <w:rPr>
          <w:color w:val="17365D" w:themeColor="text2" w:themeShade="BF"/>
          <w:sz w:val="16"/>
          <w:szCs w:val="18"/>
          <w:lang w:val="ro-RO"/>
        </w:rPr>
        <w:t>”, AO „ Stimul”, Ocnița, AO  Institutul pentru Familie și Inițiative Sociale, Instituția publică, Centrul Maternal Căușeni, Instituția publică, Centrul Maternal Cahul, Instituția publică Centrul de zi pentru vic</w:t>
      </w:r>
      <w:r w:rsidR="00A27D0C" w:rsidRPr="00A27D0C">
        <w:rPr>
          <w:color w:val="17365D" w:themeColor="text2" w:themeShade="BF"/>
          <w:sz w:val="16"/>
          <w:szCs w:val="18"/>
          <w:lang w:val="ro-RO"/>
        </w:rPr>
        <w:t>t</w:t>
      </w:r>
      <w:r w:rsidR="005B382E" w:rsidRPr="00A27D0C">
        <w:rPr>
          <w:color w:val="17365D" w:themeColor="text2" w:themeShade="BF"/>
          <w:sz w:val="16"/>
          <w:szCs w:val="18"/>
          <w:lang w:val="ro-RO"/>
        </w:rPr>
        <w:t>imele violenței ”</w:t>
      </w:r>
      <w:proofErr w:type="spellStart"/>
      <w:r w:rsidR="005B382E" w:rsidRPr="00A27D0C">
        <w:rPr>
          <w:color w:val="17365D" w:themeColor="text2" w:themeShade="BF"/>
          <w:sz w:val="16"/>
          <w:szCs w:val="18"/>
          <w:lang w:val="ro-RO"/>
        </w:rPr>
        <w:t>Sotis</w:t>
      </w:r>
      <w:proofErr w:type="spellEnd"/>
      <w:r w:rsidR="005B382E" w:rsidRPr="00A27D0C">
        <w:rPr>
          <w:color w:val="17365D" w:themeColor="text2" w:themeShade="BF"/>
          <w:sz w:val="16"/>
          <w:szCs w:val="18"/>
          <w:lang w:val="ro-RO"/>
        </w:rPr>
        <w:t>”, AO ”CNFACEM”, Centrul Psihosocial ”Vulcănești”.</w:t>
      </w:r>
    </w:p>
    <w:p w14:paraId="76AB8CD0" w14:textId="2173811E" w:rsidR="004C6275" w:rsidRPr="004C6275" w:rsidRDefault="004C6275">
      <w:pPr>
        <w:pStyle w:val="FootnoteText"/>
        <w:rPr>
          <w:sz w:val="18"/>
          <w:szCs w:val="18"/>
        </w:rPr>
      </w:pPr>
    </w:p>
  </w:footnote>
  <w:footnote w:id="3">
    <w:p w14:paraId="7DCFFF1A" w14:textId="77777777" w:rsidR="001E7E1C" w:rsidRPr="00F32B5D" w:rsidRDefault="001E7E1C">
      <w:pPr>
        <w:pStyle w:val="FootnoteText"/>
        <w:rPr>
          <w:lang w:val="ro-RO"/>
        </w:rPr>
      </w:pPr>
      <w:r>
        <w:rPr>
          <w:rStyle w:val="FootnoteReference"/>
        </w:rPr>
        <w:footnoteRef/>
      </w:r>
      <w:hyperlink r:id="rId1" w:history="1">
        <w:r w:rsidRPr="001B15B8">
          <w:rPr>
            <w:rStyle w:val="Hyperlink"/>
          </w:rPr>
          <w:t>http://lex.justice.md/md/365019/</w:t>
        </w:r>
      </w:hyperlink>
    </w:p>
  </w:footnote>
  <w:footnote w:id="4">
    <w:p w14:paraId="2F7A81E8" w14:textId="77777777" w:rsidR="001E7E1C" w:rsidRPr="0019457A" w:rsidRDefault="001E7E1C" w:rsidP="0019457A">
      <w:pPr>
        <w:pStyle w:val="FootnoteText"/>
        <w:rPr>
          <w:sz w:val="16"/>
          <w:szCs w:val="16"/>
          <w:lang w:val="ro-RO"/>
        </w:rPr>
      </w:pPr>
      <w:r w:rsidRPr="0019457A">
        <w:rPr>
          <w:rStyle w:val="FootnoteReference"/>
          <w:sz w:val="16"/>
          <w:szCs w:val="16"/>
        </w:rPr>
        <w:footnoteRef/>
      </w:r>
      <w:hyperlink r:id="rId2" w:history="1">
        <w:r w:rsidRPr="001B15B8">
          <w:rPr>
            <w:rStyle w:val="Hyperlink"/>
            <w:sz w:val="16"/>
            <w:szCs w:val="16"/>
            <w:lang w:val="ro-RO"/>
          </w:rPr>
          <w:t>http://www.statistica.md/public/files/Cooperare_internationala/PNUD/10_tablouri_femei_RM/prof_7_victime.pdf</w:t>
        </w:r>
      </w:hyperlink>
    </w:p>
  </w:footnote>
  <w:footnote w:id="5">
    <w:p w14:paraId="09D665B2" w14:textId="77777777" w:rsidR="001E7E1C" w:rsidRPr="0019457A" w:rsidRDefault="001E7E1C" w:rsidP="0019457A">
      <w:pPr>
        <w:pStyle w:val="FootnoteText"/>
        <w:rPr>
          <w:sz w:val="16"/>
          <w:szCs w:val="16"/>
          <w:lang w:val="ro-RO"/>
        </w:rPr>
      </w:pPr>
      <w:r w:rsidRPr="0019457A">
        <w:rPr>
          <w:rStyle w:val="FootnoteReference"/>
          <w:sz w:val="16"/>
          <w:szCs w:val="16"/>
        </w:rPr>
        <w:footnoteRef/>
      </w:r>
      <w:hyperlink r:id="rId3" w:history="1">
        <w:r w:rsidRPr="001B15B8">
          <w:rPr>
            <w:rStyle w:val="Hyperlink"/>
            <w:sz w:val="16"/>
            <w:szCs w:val="16"/>
            <w:lang w:val="ro-RO"/>
          </w:rPr>
          <w:t>http://cdf.md/files/resources/130/Raport_Barbatii%20si%20egalitatea%20de%20gen.pdf</w:t>
        </w:r>
      </w:hyperlink>
    </w:p>
  </w:footnote>
  <w:footnote w:id="6">
    <w:p w14:paraId="01080AED" w14:textId="77777777" w:rsidR="001E7E1C" w:rsidRPr="0058417C" w:rsidRDefault="001E7E1C" w:rsidP="0019457A">
      <w:pPr>
        <w:pStyle w:val="FootnoteText"/>
        <w:rPr>
          <w:lang w:val="ro-RO"/>
        </w:rPr>
      </w:pPr>
      <w:r w:rsidRPr="0019457A">
        <w:rPr>
          <w:rStyle w:val="FootnoteReference"/>
          <w:sz w:val="16"/>
          <w:szCs w:val="16"/>
        </w:rPr>
        <w:footnoteRef/>
      </w:r>
      <w:hyperlink r:id="rId4" w:history="1">
        <w:r w:rsidRPr="001B15B8">
          <w:rPr>
            <w:rStyle w:val="Hyperlink"/>
            <w:sz w:val="16"/>
            <w:szCs w:val="16"/>
            <w:lang w:val="ro-RO"/>
          </w:rPr>
          <w:t>http://politia.md/sites/default/files/ni_violenta_in_familie_12_luni_2018_pagina_web_a_igp.pdf</w:t>
        </w:r>
      </w:hyperlink>
    </w:p>
  </w:footnote>
  <w:footnote w:id="7">
    <w:p w14:paraId="429868C1" w14:textId="1EBA5CF3" w:rsidR="00825550" w:rsidRPr="00825550" w:rsidRDefault="00825550">
      <w:pPr>
        <w:pStyle w:val="FootnoteText"/>
        <w:rPr>
          <w:rFonts w:cstheme="minorHAnsi"/>
          <w:sz w:val="18"/>
          <w:szCs w:val="18"/>
        </w:rPr>
      </w:pPr>
      <w:r>
        <w:rPr>
          <w:rStyle w:val="FootnoteReference"/>
        </w:rPr>
        <w:footnoteRef/>
      </w:r>
      <w:r>
        <w:t>A</w:t>
      </w:r>
      <w:proofErr w:type="spellStart"/>
      <w:r w:rsidRPr="00825550">
        <w:rPr>
          <w:rFonts w:cstheme="minorHAnsi"/>
          <w:sz w:val="18"/>
          <w:szCs w:val="18"/>
          <w:lang w:val="ro-RO"/>
        </w:rPr>
        <w:t>cquis</w:t>
      </w:r>
      <w:proofErr w:type="spellEnd"/>
      <w:r w:rsidRPr="00825550">
        <w:rPr>
          <w:rFonts w:cstheme="minorHAnsi"/>
          <w:sz w:val="18"/>
          <w:szCs w:val="18"/>
          <w:lang w:val="ro-RO"/>
        </w:rPr>
        <w:t xml:space="preserve"> comunitar desemnează totalitatea drepturilor și a obligațiilor comune care decurg din statutul de stat membru al Uniunii Europene.</w:t>
      </w:r>
    </w:p>
  </w:footnote>
  <w:footnote w:id="8">
    <w:p w14:paraId="2C97CE7C" w14:textId="4C142D25" w:rsidR="001E7E1C" w:rsidRPr="00825550" w:rsidRDefault="001E7E1C">
      <w:pPr>
        <w:pStyle w:val="FootnoteText"/>
        <w:rPr>
          <w:rFonts w:cstheme="minorHAnsi"/>
          <w:sz w:val="18"/>
          <w:szCs w:val="18"/>
          <w:lang w:val="ro-RO"/>
        </w:rPr>
      </w:pPr>
      <w:r w:rsidRPr="00825550">
        <w:rPr>
          <w:rStyle w:val="FootnoteReference"/>
          <w:rFonts w:cstheme="minorHAnsi"/>
          <w:sz w:val="18"/>
          <w:szCs w:val="18"/>
          <w:lang w:val="ro-RO"/>
        </w:rPr>
        <w:footnoteRef/>
      </w:r>
      <w:r w:rsidRPr="00825550">
        <w:rPr>
          <w:rFonts w:cstheme="minorHAnsi"/>
          <w:sz w:val="18"/>
          <w:szCs w:val="18"/>
          <w:lang w:val="ro-RO"/>
        </w:rPr>
        <w:t>Legea nr.156-XIV din 14 octombrie 1998 (Monitorul Oficial al Republicii Moldova, 1999, nr. 42-44, art.247) Articolul 5. Stagiul de cotizare</w:t>
      </w:r>
      <w:r w:rsidR="00F56419">
        <w:rPr>
          <w:rFonts w:cstheme="minorHAnsi"/>
          <w:sz w:val="18"/>
          <w:szCs w:val="18"/>
          <w:lang w:val="ro-RO"/>
        </w:rPr>
        <w:t>.</w:t>
      </w:r>
      <w:r w:rsidRPr="00825550">
        <w:rPr>
          <w:rFonts w:cstheme="minorHAnsi"/>
          <w:sz w:val="18"/>
          <w:szCs w:val="18"/>
          <w:lang w:val="ro-RO"/>
        </w:rPr>
        <w:t xml:space="preserve"> </w:t>
      </w:r>
    </w:p>
  </w:footnote>
  <w:footnote w:id="9">
    <w:p w14:paraId="295A629D" w14:textId="77777777" w:rsidR="005B382E" w:rsidRPr="00A30C47" w:rsidRDefault="005B382E" w:rsidP="005B382E">
      <w:pPr>
        <w:pStyle w:val="FootnoteText"/>
        <w:rPr>
          <w:lang w:val="ro-RO"/>
        </w:rPr>
      </w:pPr>
      <w:r>
        <w:rPr>
          <w:rStyle w:val="FootnoteReference"/>
        </w:rPr>
        <w:footnoteRef/>
      </w:r>
      <w:proofErr w:type="spellStart"/>
      <w:r>
        <w:rPr>
          <w:lang w:val="ro-RO"/>
        </w:rPr>
        <w:t>Supporting</w:t>
      </w:r>
      <w:proofErr w:type="spellEnd"/>
      <w:r>
        <w:rPr>
          <w:lang w:val="ro-RO"/>
        </w:rPr>
        <w:t xml:space="preserve"> </w:t>
      </w:r>
      <w:proofErr w:type="spellStart"/>
      <w:r>
        <w:rPr>
          <w:lang w:val="ro-RO"/>
        </w:rPr>
        <w:t>Women</w:t>
      </w:r>
      <w:proofErr w:type="spellEnd"/>
      <w:r>
        <w:t xml:space="preserve">’s </w:t>
      </w:r>
      <w:proofErr w:type="spellStart"/>
      <w:r>
        <w:t>Antrepreneurship</w:t>
      </w:r>
      <w:proofErr w:type="spellEnd"/>
      <w:r>
        <w:t xml:space="preserve"> in Moldova, World Bank </w:t>
      </w:r>
      <w:proofErr w:type="spellStart"/>
      <w:r>
        <w:t>Goup</w:t>
      </w:r>
      <w:proofErr w:type="spellEnd"/>
      <w:r>
        <w:t xml:space="preserve">, </w:t>
      </w:r>
      <w:hyperlink r:id="rId5" w:history="1">
        <w:r w:rsidRPr="00BA08C0">
          <w:rPr>
            <w:rStyle w:val="Hyperlink"/>
            <w:sz w:val="18"/>
            <w:szCs w:val="18"/>
            <w:lang w:val="ro-RO"/>
          </w:rPr>
          <w:t>http://documents.worldbank.org/curated/en/411391516856355553/pdf/122962-REVISED-PUBLIC-MoldovaSupportingWomenEntrepreneurshipFINALPRINT.pdf</w:t>
        </w:r>
      </w:hyperlink>
    </w:p>
  </w:footnote>
  <w:footnote w:id="10">
    <w:p w14:paraId="7FCBDEE4" w14:textId="0CDAC5A5" w:rsidR="00AD0038" w:rsidRPr="00AD0038" w:rsidRDefault="00AD0038">
      <w:pPr>
        <w:pStyle w:val="FootnoteText"/>
        <w:rPr>
          <w:lang w:val="ro-RO"/>
        </w:rPr>
      </w:pPr>
      <w:r>
        <w:rPr>
          <w:rStyle w:val="FootnoteReference"/>
        </w:rPr>
        <w:footnoteRef/>
      </w:r>
      <w:r w:rsidRPr="00AD0038">
        <w:rPr>
          <w:lang w:val="ro-RO"/>
        </w:rPr>
        <w:t xml:space="preserve"> </w:t>
      </w:r>
      <w:hyperlink r:id="rId6" w:history="1">
        <w:r w:rsidRPr="008E4EBB">
          <w:rPr>
            <w:rStyle w:val="Hyperlink"/>
            <w:rFonts w:cstheme="minorHAnsi"/>
            <w:lang w:val="ro-RO"/>
          </w:rPr>
          <w:t>https://promolex.md/wp-content/uploads/2018/11/Raport_Discurs_Ura_RO.pdf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B14"/>
    <w:multiLevelType w:val="hybridMultilevel"/>
    <w:tmpl w:val="E64C7056"/>
    <w:lvl w:ilvl="0" w:tplc="16586FDE">
      <w:start w:val="1"/>
      <w:numFmt w:val="decimal"/>
      <w:lvlText w:val="%1."/>
      <w:lvlJc w:val="left"/>
      <w:pPr>
        <w:ind w:left="720" w:hanging="360"/>
      </w:pPr>
      <w:rPr>
        <w:rFonts w:asciiTheme="minorHAnsi" w:eastAsiaTheme="minorHAnsi"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425869"/>
    <w:multiLevelType w:val="hybridMultilevel"/>
    <w:tmpl w:val="5EECDA30"/>
    <w:lvl w:ilvl="0" w:tplc="FE88468E">
      <w:start w:val="1"/>
      <w:numFmt w:val="decimal"/>
      <w:lvlText w:val="%1."/>
      <w:lvlJc w:val="left"/>
      <w:pPr>
        <w:ind w:left="720" w:hanging="360"/>
      </w:pPr>
      <w:rPr>
        <w:rFonts w:eastAsia="Arial" w:hint="default"/>
        <w:b/>
        <w:i/>
        <w:color w:val="1F497D" w:themeColor="text2"/>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7B"/>
    <w:rsid w:val="00011895"/>
    <w:rsid w:val="000140C1"/>
    <w:rsid w:val="00023B91"/>
    <w:rsid w:val="000370A8"/>
    <w:rsid w:val="000448E1"/>
    <w:rsid w:val="00063A4F"/>
    <w:rsid w:val="00067E37"/>
    <w:rsid w:val="00096FEB"/>
    <w:rsid w:val="0009700E"/>
    <w:rsid w:val="000A24B6"/>
    <w:rsid w:val="000A5C91"/>
    <w:rsid w:val="000B2F9E"/>
    <w:rsid w:val="000B7910"/>
    <w:rsid w:val="000D780D"/>
    <w:rsid w:val="000E02BE"/>
    <w:rsid w:val="000F4946"/>
    <w:rsid w:val="000F49B1"/>
    <w:rsid w:val="00102AA6"/>
    <w:rsid w:val="0010797B"/>
    <w:rsid w:val="00112260"/>
    <w:rsid w:val="00114A17"/>
    <w:rsid w:val="00120AB7"/>
    <w:rsid w:val="001232F1"/>
    <w:rsid w:val="00144769"/>
    <w:rsid w:val="0014799A"/>
    <w:rsid w:val="001613DD"/>
    <w:rsid w:val="001667E9"/>
    <w:rsid w:val="00180207"/>
    <w:rsid w:val="00184C67"/>
    <w:rsid w:val="0019457A"/>
    <w:rsid w:val="00194A5E"/>
    <w:rsid w:val="001979E1"/>
    <w:rsid w:val="001B575A"/>
    <w:rsid w:val="001C357B"/>
    <w:rsid w:val="001D7EE4"/>
    <w:rsid w:val="001E7E1C"/>
    <w:rsid w:val="00207821"/>
    <w:rsid w:val="00211832"/>
    <w:rsid w:val="0025064A"/>
    <w:rsid w:val="002677FB"/>
    <w:rsid w:val="002719D8"/>
    <w:rsid w:val="00271D13"/>
    <w:rsid w:val="0028661D"/>
    <w:rsid w:val="002A5217"/>
    <w:rsid w:val="002A7C12"/>
    <w:rsid w:val="002B4656"/>
    <w:rsid w:val="002C0B2D"/>
    <w:rsid w:val="002C0BC0"/>
    <w:rsid w:val="002C4290"/>
    <w:rsid w:val="002C6BDC"/>
    <w:rsid w:val="002D3431"/>
    <w:rsid w:val="002D54BC"/>
    <w:rsid w:val="002E145C"/>
    <w:rsid w:val="002E43D0"/>
    <w:rsid w:val="002E5062"/>
    <w:rsid w:val="002E545E"/>
    <w:rsid w:val="00305440"/>
    <w:rsid w:val="00322DBF"/>
    <w:rsid w:val="00353505"/>
    <w:rsid w:val="00355CDB"/>
    <w:rsid w:val="0037270D"/>
    <w:rsid w:val="00386043"/>
    <w:rsid w:val="003B145F"/>
    <w:rsid w:val="003C1817"/>
    <w:rsid w:val="003D05F4"/>
    <w:rsid w:val="003F04EB"/>
    <w:rsid w:val="003F7AEA"/>
    <w:rsid w:val="00400AD6"/>
    <w:rsid w:val="00430988"/>
    <w:rsid w:val="00451B89"/>
    <w:rsid w:val="00456F60"/>
    <w:rsid w:val="004612A7"/>
    <w:rsid w:val="004645F7"/>
    <w:rsid w:val="00464DDC"/>
    <w:rsid w:val="00465C16"/>
    <w:rsid w:val="00471526"/>
    <w:rsid w:val="004750EC"/>
    <w:rsid w:val="004818EB"/>
    <w:rsid w:val="0049208B"/>
    <w:rsid w:val="004970DE"/>
    <w:rsid w:val="004B78BA"/>
    <w:rsid w:val="004C53B1"/>
    <w:rsid w:val="004C6275"/>
    <w:rsid w:val="004D09BB"/>
    <w:rsid w:val="004D18A5"/>
    <w:rsid w:val="004D28D2"/>
    <w:rsid w:val="004E47B4"/>
    <w:rsid w:val="00500958"/>
    <w:rsid w:val="00502D2C"/>
    <w:rsid w:val="00507022"/>
    <w:rsid w:val="00515388"/>
    <w:rsid w:val="00521AE6"/>
    <w:rsid w:val="00522C58"/>
    <w:rsid w:val="00531A89"/>
    <w:rsid w:val="00536BAC"/>
    <w:rsid w:val="005453FF"/>
    <w:rsid w:val="00552CF7"/>
    <w:rsid w:val="005653BE"/>
    <w:rsid w:val="00565F1D"/>
    <w:rsid w:val="00594C6C"/>
    <w:rsid w:val="005B382E"/>
    <w:rsid w:val="005B58BA"/>
    <w:rsid w:val="005C2025"/>
    <w:rsid w:val="005D1233"/>
    <w:rsid w:val="005D247B"/>
    <w:rsid w:val="005D4718"/>
    <w:rsid w:val="005E3096"/>
    <w:rsid w:val="005F1826"/>
    <w:rsid w:val="00603330"/>
    <w:rsid w:val="00603C16"/>
    <w:rsid w:val="006053E9"/>
    <w:rsid w:val="00607942"/>
    <w:rsid w:val="00614CB2"/>
    <w:rsid w:val="00617C8A"/>
    <w:rsid w:val="006216D5"/>
    <w:rsid w:val="006253E9"/>
    <w:rsid w:val="00625F15"/>
    <w:rsid w:val="0064731F"/>
    <w:rsid w:val="00650DCF"/>
    <w:rsid w:val="00654E03"/>
    <w:rsid w:val="00685405"/>
    <w:rsid w:val="00692DB7"/>
    <w:rsid w:val="00696C1B"/>
    <w:rsid w:val="006A1027"/>
    <w:rsid w:val="006A3BE6"/>
    <w:rsid w:val="006B2C77"/>
    <w:rsid w:val="006B3647"/>
    <w:rsid w:val="006B6C96"/>
    <w:rsid w:val="006E2C65"/>
    <w:rsid w:val="00705192"/>
    <w:rsid w:val="007107BF"/>
    <w:rsid w:val="007500EB"/>
    <w:rsid w:val="007541E7"/>
    <w:rsid w:val="007778D4"/>
    <w:rsid w:val="00792B43"/>
    <w:rsid w:val="007A17E4"/>
    <w:rsid w:val="007A3E04"/>
    <w:rsid w:val="007B0B13"/>
    <w:rsid w:val="007D7713"/>
    <w:rsid w:val="007E1502"/>
    <w:rsid w:val="007E19A2"/>
    <w:rsid w:val="007E2479"/>
    <w:rsid w:val="007F0ABA"/>
    <w:rsid w:val="007F3D43"/>
    <w:rsid w:val="0080726D"/>
    <w:rsid w:val="00811FE0"/>
    <w:rsid w:val="00813F79"/>
    <w:rsid w:val="00815485"/>
    <w:rsid w:val="00825550"/>
    <w:rsid w:val="00825652"/>
    <w:rsid w:val="0083772C"/>
    <w:rsid w:val="008578FE"/>
    <w:rsid w:val="008669E0"/>
    <w:rsid w:val="008709E3"/>
    <w:rsid w:val="00871CCB"/>
    <w:rsid w:val="00873D53"/>
    <w:rsid w:val="008764F9"/>
    <w:rsid w:val="008907C0"/>
    <w:rsid w:val="00892B22"/>
    <w:rsid w:val="008A77C7"/>
    <w:rsid w:val="008A7887"/>
    <w:rsid w:val="008B3F5A"/>
    <w:rsid w:val="008B53F8"/>
    <w:rsid w:val="008B55CA"/>
    <w:rsid w:val="008F6C25"/>
    <w:rsid w:val="0090332B"/>
    <w:rsid w:val="00906E0F"/>
    <w:rsid w:val="00907676"/>
    <w:rsid w:val="0091499F"/>
    <w:rsid w:val="00920DAB"/>
    <w:rsid w:val="009228EB"/>
    <w:rsid w:val="0092689C"/>
    <w:rsid w:val="00935E03"/>
    <w:rsid w:val="009365B3"/>
    <w:rsid w:val="00946660"/>
    <w:rsid w:val="009501DE"/>
    <w:rsid w:val="009639F5"/>
    <w:rsid w:val="009816E6"/>
    <w:rsid w:val="00986964"/>
    <w:rsid w:val="009A535B"/>
    <w:rsid w:val="009B08F7"/>
    <w:rsid w:val="009E7A90"/>
    <w:rsid w:val="00A00B79"/>
    <w:rsid w:val="00A04B68"/>
    <w:rsid w:val="00A05C7E"/>
    <w:rsid w:val="00A10911"/>
    <w:rsid w:val="00A27D0C"/>
    <w:rsid w:val="00A41D54"/>
    <w:rsid w:val="00A4207C"/>
    <w:rsid w:val="00A42B32"/>
    <w:rsid w:val="00A4693B"/>
    <w:rsid w:val="00A57DD2"/>
    <w:rsid w:val="00A70E40"/>
    <w:rsid w:val="00A72CA2"/>
    <w:rsid w:val="00A73871"/>
    <w:rsid w:val="00A73BBC"/>
    <w:rsid w:val="00A83B7D"/>
    <w:rsid w:val="00A942A7"/>
    <w:rsid w:val="00AC016C"/>
    <w:rsid w:val="00AC091D"/>
    <w:rsid w:val="00AD0038"/>
    <w:rsid w:val="00AD3AD6"/>
    <w:rsid w:val="00AD4AB5"/>
    <w:rsid w:val="00B005BA"/>
    <w:rsid w:val="00B05692"/>
    <w:rsid w:val="00B07F9D"/>
    <w:rsid w:val="00B14419"/>
    <w:rsid w:val="00B26114"/>
    <w:rsid w:val="00B4312D"/>
    <w:rsid w:val="00B432A2"/>
    <w:rsid w:val="00B52782"/>
    <w:rsid w:val="00B722F3"/>
    <w:rsid w:val="00B729A7"/>
    <w:rsid w:val="00BA05DD"/>
    <w:rsid w:val="00BB54CA"/>
    <w:rsid w:val="00BD0294"/>
    <w:rsid w:val="00BD10FE"/>
    <w:rsid w:val="00BD250B"/>
    <w:rsid w:val="00BE44A7"/>
    <w:rsid w:val="00BE5F16"/>
    <w:rsid w:val="00BF50C5"/>
    <w:rsid w:val="00C1531C"/>
    <w:rsid w:val="00C15CD5"/>
    <w:rsid w:val="00C21582"/>
    <w:rsid w:val="00C34214"/>
    <w:rsid w:val="00C35803"/>
    <w:rsid w:val="00C5090B"/>
    <w:rsid w:val="00C53506"/>
    <w:rsid w:val="00C61585"/>
    <w:rsid w:val="00C76DD8"/>
    <w:rsid w:val="00CC3C42"/>
    <w:rsid w:val="00CC7B03"/>
    <w:rsid w:val="00CE4BD0"/>
    <w:rsid w:val="00D052C7"/>
    <w:rsid w:val="00D36F2A"/>
    <w:rsid w:val="00D57E56"/>
    <w:rsid w:val="00D63E64"/>
    <w:rsid w:val="00D66767"/>
    <w:rsid w:val="00D72819"/>
    <w:rsid w:val="00D957D7"/>
    <w:rsid w:val="00DA0F5B"/>
    <w:rsid w:val="00DA274A"/>
    <w:rsid w:val="00DA6873"/>
    <w:rsid w:val="00DB72B8"/>
    <w:rsid w:val="00DE4BF5"/>
    <w:rsid w:val="00DF3FAE"/>
    <w:rsid w:val="00DF71C0"/>
    <w:rsid w:val="00E05045"/>
    <w:rsid w:val="00E0592C"/>
    <w:rsid w:val="00E25C19"/>
    <w:rsid w:val="00E30E51"/>
    <w:rsid w:val="00E41466"/>
    <w:rsid w:val="00E56906"/>
    <w:rsid w:val="00E603BC"/>
    <w:rsid w:val="00E805B7"/>
    <w:rsid w:val="00E8350A"/>
    <w:rsid w:val="00E95284"/>
    <w:rsid w:val="00E97342"/>
    <w:rsid w:val="00EA2C77"/>
    <w:rsid w:val="00EB7CF8"/>
    <w:rsid w:val="00EC5F06"/>
    <w:rsid w:val="00ED5B67"/>
    <w:rsid w:val="00EE0D55"/>
    <w:rsid w:val="00EE13BC"/>
    <w:rsid w:val="00EE5C95"/>
    <w:rsid w:val="00F004CC"/>
    <w:rsid w:val="00F10A03"/>
    <w:rsid w:val="00F13491"/>
    <w:rsid w:val="00F32B5D"/>
    <w:rsid w:val="00F33E2B"/>
    <w:rsid w:val="00F56419"/>
    <w:rsid w:val="00F63CEE"/>
    <w:rsid w:val="00F662A2"/>
    <w:rsid w:val="00F72E3D"/>
    <w:rsid w:val="00F81FB2"/>
    <w:rsid w:val="00F85E28"/>
    <w:rsid w:val="00F9151C"/>
    <w:rsid w:val="00F93533"/>
    <w:rsid w:val="00FA1BE3"/>
    <w:rsid w:val="00FB2089"/>
    <w:rsid w:val="00FC2A86"/>
    <w:rsid w:val="00FC36BD"/>
    <w:rsid w:val="00FC693A"/>
    <w:rsid w:val="00FD2932"/>
    <w:rsid w:val="00FD7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951D2"/>
  <w15:docId w15:val="{29FF5477-780B-4025-B35F-ABE631F1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AB"/>
    <w:pPr>
      <w:ind w:left="720"/>
      <w:contextualSpacing/>
    </w:pPr>
  </w:style>
  <w:style w:type="paragraph" w:styleId="Header">
    <w:name w:val="header"/>
    <w:basedOn w:val="Normal"/>
    <w:link w:val="HeaderChar"/>
    <w:uiPriority w:val="99"/>
    <w:unhideWhenUsed/>
    <w:rsid w:val="00A04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B68"/>
  </w:style>
  <w:style w:type="paragraph" w:styleId="Footer">
    <w:name w:val="footer"/>
    <w:basedOn w:val="Normal"/>
    <w:link w:val="FooterChar"/>
    <w:uiPriority w:val="99"/>
    <w:unhideWhenUsed/>
    <w:rsid w:val="00A0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B68"/>
  </w:style>
  <w:style w:type="paragraph" w:styleId="FootnoteText">
    <w:name w:val="footnote text"/>
    <w:basedOn w:val="Normal"/>
    <w:link w:val="FootnoteTextChar"/>
    <w:uiPriority w:val="99"/>
    <w:semiHidden/>
    <w:unhideWhenUsed/>
    <w:rsid w:val="00F32B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B5D"/>
    <w:rPr>
      <w:sz w:val="20"/>
      <w:szCs w:val="20"/>
    </w:rPr>
  </w:style>
  <w:style w:type="character" w:styleId="FootnoteReference">
    <w:name w:val="footnote reference"/>
    <w:basedOn w:val="DefaultParagraphFont"/>
    <w:uiPriority w:val="99"/>
    <w:semiHidden/>
    <w:unhideWhenUsed/>
    <w:rsid w:val="00F32B5D"/>
    <w:rPr>
      <w:vertAlign w:val="superscript"/>
    </w:rPr>
  </w:style>
  <w:style w:type="character" w:styleId="Hyperlink">
    <w:name w:val="Hyperlink"/>
    <w:basedOn w:val="DefaultParagraphFont"/>
    <w:uiPriority w:val="99"/>
    <w:unhideWhenUsed/>
    <w:rsid w:val="00F32B5D"/>
    <w:rPr>
      <w:color w:val="0000FF" w:themeColor="hyperlink"/>
      <w:u w:val="single"/>
    </w:rPr>
  </w:style>
  <w:style w:type="character" w:styleId="CommentReference">
    <w:name w:val="annotation reference"/>
    <w:basedOn w:val="DefaultParagraphFont"/>
    <w:uiPriority w:val="99"/>
    <w:semiHidden/>
    <w:unhideWhenUsed/>
    <w:rsid w:val="005D1233"/>
    <w:rPr>
      <w:sz w:val="16"/>
      <w:szCs w:val="16"/>
    </w:rPr>
  </w:style>
  <w:style w:type="paragraph" w:styleId="CommentText">
    <w:name w:val="annotation text"/>
    <w:basedOn w:val="Normal"/>
    <w:link w:val="CommentTextChar"/>
    <w:uiPriority w:val="99"/>
    <w:semiHidden/>
    <w:unhideWhenUsed/>
    <w:rsid w:val="005D1233"/>
    <w:pPr>
      <w:spacing w:line="240" w:lineRule="auto"/>
    </w:pPr>
    <w:rPr>
      <w:sz w:val="20"/>
      <w:szCs w:val="20"/>
    </w:rPr>
  </w:style>
  <w:style w:type="character" w:customStyle="1" w:styleId="CommentTextChar">
    <w:name w:val="Comment Text Char"/>
    <w:basedOn w:val="DefaultParagraphFont"/>
    <w:link w:val="CommentText"/>
    <w:uiPriority w:val="99"/>
    <w:semiHidden/>
    <w:rsid w:val="005D1233"/>
    <w:rPr>
      <w:sz w:val="20"/>
      <w:szCs w:val="20"/>
    </w:rPr>
  </w:style>
  <w:style w:type="paragraph" w:styleId="CommentSubject">
    <w:name w:val="annotation subject"/>
    <w:basedOn w:val="CommentText"/>
    <w:next w:val="CommentText"/>
    <w:link w:val="CommentSubjectChar"/>
    <w:uiPriority w:val="99"/>
    <w:semiHidden/>
    <w:unhideWhenUsed/>
    <w:rsid w:val="005D1233"/>
    <w:rPr>
      <w:b/>
      <w:bCs/>
    </w:rPr>
  </w:style>
  <w:style w:type="character" w:customStyle="1" w:styleId="CommentSubjectChar">
    <w:name w:val="Comment Subject Char"/>
    <w:basedOn w:val="CommentTextChar"/>
    <w:link w:val="CommentSubject"/>
    <w:uiPriority w:val="99"/>
    <w:semiHidden/>
    <w:rsid w:val="005D1233"/>
    <w:rPr>
      <w:b/>
      <w:bCs/>
      <w:sz w:val="20"/>
      <w:szCs w:val="20"/>
    </w:rPr>
  </w:style>
  <w:style w:type="paragraph" w:styleId="BalloonText">
    <w:name w:val="Balloon Text"/>
    <w:basedOn w:val="Normal"/>
    <w:link w:val="BalloonTextChar"/>
    <w:uiPriority w:val="99"/>
    <w:semiHidden/>
    <w:unhideWhenUsed/>
    <w:rsid w:val="005D1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33"/>
    <w:rPr>
      <w:rFonts w:ascii="Tahoma" w:hAnsi="Tahoma" w:cs="Tahoma"/>
      <w:sz w:val="16"/>
      <w:szCs w:val="16"/>
    </w:rPr>
  </w:style>
  <w:style w:type="paragraph" w:styleId="EndnoteText">
    <w:name w:val="endnote text"/>
    <w:basedOn w:val="Normal"/>
    <w:link w:val="EndnoteTextChar"/>
    <w:uiPriority w:val="99"/>
    <w:semiHidden/>
    <w:unhideWhenUsed/>
    <w:rsid w:val="000B2F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F9E"/>
    <w:rPr>
      <w:sz w:val="20"/>
      <w:szCs w:val="20"/>
    </w:rPr>
  </w:style>
  <w:style w:type="character" w:styleId="EndnoteReference">
    <w:name w:val="endnote reference"/>
    <w:basedOn w:val="DefaultParagraphFont"/>
    <w:uiPriority w:val="99"/>
    <w:semiHidden/>
    <w:unhideWhenUsed/>
    <w:rsid w:val="000B2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992">
      <w:bodyDiv w:val="1"/>
      <w:marLeft w:val="0"/>
      <w:marRight w:val="0"/>
      <w:marTop w:val="0"/>
      <w:marBottom w:val="0"/>
      <w:divBdr>
        <w:top w:val="none" w:sz="0" w:space="0" w:color="auto"/>
        <w:left w:val="none" w:sz="0" w:space="0" w:color="auto"/>
        <w:bottom w:val="none" w:sz="0" w:space="0" w:color="auto"/>
        <w:right w:val="none" w:sz="0" w:space="0" w:color="auto"/>
      </w:divBdr>
      <w:divsChild>
        <w:div w:id="186407535">
          <w:marLeft w:val="0"/>
          <w:marRight w:val="0"/>
          <w:marTop w:val="0"/>
          <w:marBottom w:val="0"/>
          <w:divBdr>
            <w:top w:val="none" w:sz="0" w:space="0" w:color="auto"/>
            <w:left w:val="none" w:sz="0" w:space="0" w:color="auto"/>
            <w:bottom w:val="none" w:sz="0" w:space="0" w:color="auto"/>
            <w:right w:val="none" w:sz="0" w:space="0" w:color="auto"/>
          </w:divBdr>
        </w:div>
      </w:divsChild>
    </w:div>
    <w:div w:id="91511241">
      <w:bodyDiv w:val="1"/>
      <w:marLeft w:val="0"/>
      <w:marRight w:val="0"/>
      <w:marTop w:val="0"/>
      <w:marBottom w:val="0"/>
      <w:divBdr>
        <w:top w:val="none" w:sz="0" w:space="0" w:color="auto"/>
        <w:left w:val="none" w:sz="0" w:space="0" w:color="auto"/>
        <w:bottom w:val="none" w:sz="0" w:space="0" w:color="auto"/>
        <w:right w:val="none" w:sz="0" w:space="0" w:color="auto"/>
      </w:divBdr>
      <w:divsChild>
        <w:div w:id="1324822842">
          <w:marLeft w:val="0"/>
          <w:marRight w:val="0"/>
          <w:marTop w:val="0"/>
          <w:marBottom w:val="0"/>
          <w:divBdr>
            <w:top w:val="none" w:sz="0" w:space="0" w:color="auto"/>
            <w:left w:val="none" w:sz="0" w:space="0" w:color="auto"/>
            <w:bottom w:val="none" w:sz="0" w:space="0" w:color="auto"/>
            <w:right w:val="none" w:sz="0" w:space="0" w:color="auto"/>
          </w:divBdr>
        </w:div>
        <w:div w:id="138496039">
          <w:marLeft w:val="0"/>
          <w:marRight w:val="0"/>
          <w:marTop w:val="0"/>
          <w:marBottom w:val="0"/>
          <w:divBdr>
            <w:top w:val="none" w:sz="0" w:space="0" w:color="auto"/>
            <w:left w:val="none" w:sz="0" w:space="0" w:color="auto"/>
            <w:bottom w:val="none" w:sz="0" w:space="0" w:color="auto"/>
            <w:right w:val="none" w:sz="0" w:space="0" w:color="auto"/>
          </w:divBdr>
        </w:div>
        <w:div w:id="536308980">
          <w:marLeft w:val="0"/>
          <w:marRight w:val="0"/>
          <w:marTop w:val="0"/>
          <w:marBottom w:val="0"/>
          <w:divBdr>
            <w:top w:val="none" w:sz="0" w:space="0" w:color="auto"/>
            <w:left w:val="none" w:sz="0" w:space="0" w:color="auto"/>
            <w:bottom w:val="none" w:sz="0" w:space="0" w:color="auto"/>
            <w:right w:val="none" w:sz="0" w:space="0" w:color="auto"/>
          </w:divBdr>
        </w:div>
      </w:divsChild>
    </w:div>
    <w:div w:id="1318874401">
      <w:bodyDiv w:val="1"/>
      <w:marLeft w:val="0"/>
      <w:marRight w:val="0"/>
      <w:marTop w:val="0"/>
      <w:marBottom w:val="0"/>
      <w:divBdr>
        <w:top w:val="none" w:sz="0" w:space="0" w:color="auto"/>
        <w:left w:val="none" w:sz="0" w:space="0" w:color="auto"/>
        <w:bottom w:val="none" w:sz="0" w:space="0" w:color="auto"/>
        <w:right w:val="none" w:sz="0" w:space="0" w:color="auto"/>
      </w:divBdr>
      <w:divsChild>
        <w:div w:id="952907407">
          <w:marLeft w:val="0"/>
          <w:marRight w:val="0"/>
          <w:marTop w:val="0"/>
          <w:marBottom w:val="0"/>
          <w:divBdr>
            <w:top w:val="none" w:sz="0" w:space="0" w:color="auto"/>
            <w:left w:val="none" w:sz="0" w:space="0" w:color="auto"/>
            <w:bottom w:val="none" w:sz="0" w:space="0" w:color="auto"/>
            <w:right w:val="none" w:sz="0" w:space="0" w:color="auto"/>
          </w:divBdr>
        </w:div>
        <w:div w:id="354695250">
          <w:marLeft w:val="0"/>
          <w:marRight w:val="0"/>
          <w:marTop w:val="0"/>
          <w:marBottom w:val="0"/>
          <w:divBdr>
            <w:top w:val="none" w:sz="0" w:space="0" w:color="auto"/>
            <w:left w:val="none" w:sz="0" w:space="0" w:color="auto"/>
            <w:bottom w:val="none" w:sz="0" w:space="0" w:color="auto"/>
            <w:right w:val="none" w:sz="0" w:space="0" w:color="auto"/>
          </w:divBdr>
        </w:div>
        <w:div w:id="1065762352">
          <w:marLeft w:val="0"/>
          <w:marRight w:val="0"/>
          <w:marTop w:val="0"/>
          <w:marBottom w:val="0"/>
          <w:divBdr>
            <w:top w:val="none" w:sz="0" w:space="0" w:color="auto"/>
            <w:left w:val="none" w:sz="0" w:space="0" w:color="auto"/>
            <w:bottom w:val="none" w:sz="0" w:space="0" w:color="auto"/>
            <w:right w:val="none" w:sz="0" w:space="0" w:color="auto"/>
          </w:divBdr>
        </w:div>
      </w:divsChild>
    </w:div>
    <w:div w:id="1810437223">
      <w:bodyDiv w:val="1"/>
      <w:marLeft w:val="0"/>
      <w:marRight w:val="0"/>
      <w:marTop w:val="0"/>
      <w:marBottom w:val="0"/>
      <w:divBdr>
        <w:top w:val="none" w:sz="0" w:space="0" w:color="auto"/>
        <w:left w:val="none" w:sz="0" w:space="0" w:color="auto"/>
        <w:bottom w:val="none" w:sz="0" w:space="0" w:color="auto"/>
        <w:right w:val="none" w:sz="0" w:space="0" w:color="auto"/>
      </w:divBdr>
    </w:div>
    <w:div w:id="21164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df.md/files/resources/130/Raport_Barbatii%20si%20egalitatea%20de%20gen.pdf" TargetMode="External"/><Relationship Id="rId2" Type="http://schemas.openxmlformats.org/officeDocument/2006/relationships/hyperlink" Target="http://www.statistica.md/public/files/Cooperare_internationala/PNUD/10_tablouri_femei_RM/prof_7_victime.pdf" TargetMode="External"/><Relationship Id="rId1" Type="http://schemas.openxmlformats.org/officeDocument/2006/relationships/hyperlink" Target="http://lex.justice.md/md/365019/" TargetMode="External"/><Relationship Id="rId6" Type="http://schemas.openxmlformats.org/officeDocument/2006/relationships/hyperlink" Target="https://promolex.md/wp-content/uploads/2018/11/Raport_Discurs_Ura_RO.pdf" TargetMode="External"/><Relationship Id="rId5" Type="http://schemas.openxmlformats.org/officeDocument/2006/relationships/hyperlink" Target="http://documents.worldbank.org/curated/en/411391516856355553/pdf/122962-REVISED-PUBLIC-MoldovaSupportingWomenEntrepreneurshipFINALPRINT.pdf" TargetMode="External"/><Relationship Id="rId4" Type="http://schemas.openxmlformats.org/officeDocument/2006/relationships/hyperlink" Target="http://politia.md/sites/default/files/ni_violenta_in_familie_12_luni_2018_pagina_web_a_ig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2779-3112-46CA-B235-A4EBD5D4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3371</Words>
  <Characters>19216</Characters>
  <Application>Microsoft Office Word</Application>
  <DocSecurity>0</DocSecurity>
  <Lines>160</Lines>
  <Paragraphs>45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Desktop1</cp:lastModifiedBy>
  <cp:revision>9</cp:revision>
  <dcterms:created xsi:type="dcterms:W3CDTF">2019-02-04T14:55:00Z</dcterms:created>
  <dcterms:modified xsi:type="dcterms:W3CDTF">2019-02-04T15:13:00Z</dcterms:modified>
</cp:coreProperties>
</file>